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2"/>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220000" cy="3262500"/>
            <wp:effectExtent l="0" t="0" r="0" b="0"/>
            <wp:wrapTopAndBottom/>
            <wp:docPr xmlns:a="http://schemas.openxmlformats.org/drawingml/2006/main" xmlns:pic="http://schemas.openxmlformats.org/drawingml/2006/picture" id="1" name="Picture 1"/>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1_学习目标思维导图_v1.png"/>
                    <pic:cNvPicPr/>
                  </pic:nvPicPr>
                  <pic:blipFill>
                    <a:blip r:embed="rId16"/>
                    <a:stretch>
                      <a:fillRect/>
                    </a:stretch>
                  </pic:blipFill>
                  <pic:spPr>
                    <a:xfrm>
                      <a:off x="0" y="0"/>
                      <a:ext cx="5220000" cy="3262500"/>
                    </a:xfrm>
                    <a:prstGeom prst="rect"/>
                  </pic:spPr>
                </pic:pic>
              </a:graphicData>
            </a:graphic>
          </wp:anchor>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重要依据，也是日后解释数字的关键材料之一。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4140000" cy="2258182"/>
            <wp:effectExtent l="0" t="0" r="0" b="0"/>
            <wp:wrapTopAndBottom/>
            <wp:docPr xmlns:a="http://schemas.openxmlformats.org/drawingml/2006/main" xmlns:pic="http://schemas.openxmlformats.org/drawingml/2006/picture" id="2" name="Picture 2"/>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2_小何场景_v1.png"/>
                    <pic:cNvPicPr/>
                  </pic:nvPicPr>
                  <pic:blipFill>
                    <a:blip r:embed="rId17"/>
                    <a:stretch>
                      <a:fillRect/>
                    </a:stretch>
                  </pic:blipFill>
                  <pic:spPr>
                    <a:xfrm>
                      <a:off x="0" y="0"/>
                      <a:ext cx="4140000" cy="2258182"/>
                    </a:xfrm>
                    <a:prstGeom prst="rect"/>
                  </pic:spPr>
                </pic:pic>
              </a:graphicData>
            </a:graphic>
          </wp:anchor>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p>
    <w:p>
      <w:pPr>
        <w:pStyle w:val="Heading3"/>
      </w:pPr>
      <w:r>
        <w:t>一、票据与业务资料的种类</w:t>
      </w:r>
    </w:p>
    <w:p>
      <w:r>
        <w:t>票据是证明交易或收付款的重要材料；合同、订单、审批单和活动说明等业务资料，可补充说明交易对象、用途、授权或履约情况。具体需要哪些材料，取决于事项性质和单位制度。仅有票据时，可能仍无法判断用途或合规性；只有说明而无凭证，通常也不能核实金额和收付款。</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三、完整性检查：信息缺一不可</w:t>
      </w:r>
    </w:p>
    <w:p>
      <w:r>
        <w:t>每笔业务整理后的票据与配套资料，应能回答五个问题：何时发生、与谁发生、金额多少、为什么发生、由谁经手。如果某一项缺失，应当在台账中标注“待补充”，并尽快向经办人核实，而不能凭印象补写。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四、AI操作：用大模型生成票据清单，并逐项核对</w:t>
      </w:r>
    </w:p>
    <w:p>
      <w:r>
        <w:t>将票据材料交给大模型前，应按任务13.3核实处理依据和使用权限，只提供最小必要信息并对个人信息脱敏；不宜上传的内容改用模拟数据。随后要求大模型按日期、摘要、金额、票据类型和用途整理成表格，并单独列出信息不完整的条目。</w:t>
      </w:r>
    </w:p>
    <w:p>
      <w:r>
        <w:t>核对时，应逐张回到原始票据：金额是否一致，日期是否与业务相符，用途是否有相应业务资料支持；所需资料按事项性质和单位制度判断。对于大模型无法识别或推测的内容，应要求它标注“待核实”，而不是补充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p>
    <w:p>
      <w:pPr>
        <w:pStyle w:val="Heading3"/>
      </w:pPr>
      <w:r>
        <w:t>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四、AI操作：让AI汇总收支表，并核对每个合计</w:t>
      </w:r>
    </w:p>
    <w:p>
      <w:r>
        <w:t>向大模型提供流水前，先按任务13.3核实处理依据和使用权限，做到最小必要并对个人信息脱敏；不能上传的内容应改用模拟数据。随后要求它按类别汇总收入和支出，并列出算式，标明每个合计数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五、回到案例</w:t>
      </w:r>
    </w:p>
    <w:p>
      <w:r>
        <w:t>小何在整理一笔场地押金时，发现大模型将其误判为“已退还”，导致待退还款项记录少计60元。她复核合同与银行回单，确认截至核对日款项仍未退回，便在往来款台账中补记为“待退还款项”，单独跟踪；该项不计入普通活动费用和表14-2的支出合计。</w:t>
      </w:r>
    </w:p>
    <w:p>
      <w:r>
        <w:t>青禾文具的小周在按权责发生制编制利润表时，把一笔客户预收款误记为会计收入。陈静指出：预收款到账时应先确认为负债，待商品交付或服务完成并满足确认条件后再确认收入。小周修正了会计账本，并在说明中区分“收款”和“收入”。这一修正影响利润表中的会计收入，不改变项目9表9-3按实际到账口径统计的现金收款11750元和结余4550元。</w:t>
      </w:r>
    </w:p>
    <w:p>
      <w:r>
        <w:t>青禾文具的小周在编制十月收支表时，把一笔快递费与采购费放在了同一行。陈静核对运单后确认，这笔费用是向客户寄送商品产生的运费；按本例的分类口径，应单列为销售运费，不与采购货品成本混在一行。小周调整后重新汇总，再将分类结果与预算对照，分析差异原因。这说明，分类既要看摘要，也要看业务用途和单位口径。</w:t>
      </w:r>
    </w:p>
    <w:p>
      <w:pPr>
        <w:pStyle w:val="Heading3"/>
      </w:pPr>
      <w:r>
        <w:t>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r>
        <w:t>【练习】</w:t>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p>
    <w:p>
      <w:pPr>
        <w:pStyle w:val="Heading3"/>
      </w:pPr>
      <w:r>
        <w:t>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本项目中的图表都应当经得起检验：金额柱状图的坐标轴一般从零开始；折线图可根据分析目标设置纵轴范围，但应标明刻度并避免夸大变化；颜色只用于区分类别，图注写明口径。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四、AI操作：让AI生成经营说明初稿，并逐句核对数字</w:t>
      </w:r>
    </w:p>
    <w:p>
      <w:r>
        <w:t>在单位制度允许并完成必要脱敏后，向大模型提供收支表和分析结论，要求它写出一段经营说明，每个数字注明来源，不使用无法解释的专业术语，并列出所有使用的数字。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五、回到案例</w:t>
      </w:r>
    </w:p>
    <w:p>
      <w:r>
        <w:t>星空读书会的小何在经营说明中写道：“本学期经费使用良好，收支平衡。”李想想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p>
    <w:p>
      <w:pPr>
        <w:pStyle w:val="Heading3"/>
      </w:pPr>
      <w:r>
        <w:t>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四、AI操作：用大模型辅助复核与复盘，并保留人工结论</w:t>
      </w:r>
    </w:p>
    <w:p>
      <w:r>
        <w:t>在单位制度允许并完成必要脱敏后，把本学期的复核清单和修改记录交给大模型，要求它归纳高频错误并提出三条改进建议。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青禾文具的小周在复盘中发现，大模型曾两次把预收款误作权责发生制下已确认的会计收入。陈静据此在复核清单中增加了一项：凡涉及预收、预付的业务，必须单独列示并由主管确认。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400000" cy="3375000"/>
            <wp:effectExtent l="0" t="0" r="0" b="0"/>
            <wp:wrapTopAndBottom/>
            <wp:docPr xmlns:a="http://schemas.openxmlformats.org/drawingml/2006/main" xmlns:pic="http://schemas.openxmlformats.org/drawingml/2006/picture" id="3" name="Picture 3"/>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3_本项目知识图谱_v1.png"/>
                    <pic:cNvPicPr/>
                  </pic:nvPicPr>
                  <pic:blipFill>
                    <a:blip r:embed="rId18"/>
                    <a:stretch>
                      <a:fillRect/>
                    </a:stretch>
                  </pic:blipFill>
                  <pic:spPr>
                    <a:xfrm>
                      <a:off x="0" y="0"/>
                      <a:ext cx="5400000" cy="3375000"/>
                    </a:xfrm>
                    <a:prstGeom prst="rect"/>
                  </pic:spPr>
                </pic:pic>
              </a:graphicData>
            </a:graphic>
          </wp:anchor>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本练习使用本书已有的两组示例数据：星空读书会的学期收支，以及青禾文具2026年10月的收支。星空读书会2026年9月流水样例见项目8表8-1：当月已收到本例学期全部收入2040元，9月支出599.50元仅为当月支出；学期预算与实际收支总额以项目9表9-1为准（学期收入2040元、支出1788元），支出分类明细见项目9表9-2。青禾文具10月收支见项目9表9-3，11750元按实际到账统计并含一笔尚未履约的预收款，不等同于会计收入。表14-2列示两组数据的综合汇总数，供核对使用。任务14.1的票据整理依据本项目任务14.1导入、“回到案例”中的情境以及表14-3的模拟资料样例。表14-3仅供票据整理练习，不用于重算表14-2的汇总数。所有数据均为教学示例，学生无需另行收集或自拟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r>
        <w:t>表14-3 综合练习票据与业务资料样例（模拟）</w:t>
      </w:r>
    </w:p>
    <w:tbl>
      <w:tblPr>
        <w:tblW w:type="auto" w:w="0"/>
        <w:tblLook w:firstColumn="1" w:firstRow="1" w:lastColumn="0" w:lastRow="0" w:noHBand="0" w:noVBand="1" w:val="04A0"/>
      </w:tblPr>
      <w:tblGrid>
        <w:gridCol w:w="2078"/>
        <w:gridCol w:w="2078"/>
        <w:gridCol w:w="2078"/>
        <w:gridCol w:w="2078"/>
      </w:tblGrid>
      <w:tr>
        <w:tc>
          <w:tcPr>
            <w:tcW w:type="dxa" w:w="2078"/>
          </w:tcPr>
          <w:p>
            <w:r>
              <w:rPr>
                <w:sz w:val="18"/>
              </w:rPr>
              <w:t>资料编号</w:t>
            </w:r>
          </w:p>
        </w:tc>
        <w:tc>
          <w:tcPr>
            <w:tcW w:type="dxa" w:w="2078"/>
          </w:tcPr>
          <w:p>
            <w:r>
              <w:rPr>
                <w:sz w:val="18"/>
              </w:rPr>
              <w:t>组织与业务</w:t>
            </w:r>
          </w:p>
        </w:tc>
        <w:tc>
          <w:tcPr>
            <w:tcW w:type="dxa" w:w="2078"/>
          </w:tcPr>
          <w:p>
            <w:r>
              <w:rPr>
                <w:sz w:val="18"/>
              </w:rPr>
              <w:t>现有资料与数据</w:t>
            </w:r>
          </w:p>
        </w:tc>
        <w:tc>
          <w:tcPr>
            <w:tcW w:type="dxa" w:w="2078"/>
          </w:tcPr>
          <w:p>
            <w:r>
              <w:rPr>
                <w:sz w:val="18"/>
              </w:rPr>
              <w:t>已知缺项或复核点</w:t>
            </w:r>
          </w:p>
        </w:tc>
      </w:tr>
      <w:tr>
        <w:tc>
          <w:tcPr>
            <w:tcW w:type="dxa" w:w="2078"/>
          </w:tcPr>
          <w:p>
            <w:r>
              <w:rPr>
                <w:sz w:val="18"/>
              </w:rPr>
              <w:t>XK-01</w:t>
            </w:r>
          </w:p>
        </w:tc>
        <w:tc>
          <w:tcPr>
            <w:tcW w:type="dxa" w:w="2078"/>
          </w:tcPr>
          <w:p>
            <w:r>
              <w:rPr>
                <w:sz w:val="18"/>
              </w:rPr>
              <w:t>星空读书会／活动用品</w:t>
            </w:r>
          </w:p>
        </w:tc>
        <w:tc>
          <w:tcPr>
            <w:tcW w:type="dxa" w:w="2078"/>
          </w:tcPr>
          <w:p>
            <w:r>
              <w:rPr>
                <w:sz w:val="18"/>
              </w:rPr>
              <w:t>2026-10-08超市小票，48.50元；经办人已签名。采购清单记载纸杯、饮用水。</w:t>
            </w:r>
          </w:p>
        </w:tc>
        <w:tc>
          <w:tcPr>
            <w:tcW w:type="dxa" w:w="2078"/>
          </w:tcPr>
          <w:p>
            <w:r>
              <w:rPr>
                <w:sz w:val="18"/>
              </w:rPr>
              <w:t>小票未列品名；需对照采购清单并记录经办人确认，不能补写原票。</w:t>
            </w:r>
          </w:p>
        </w:tc>
      </w:tr>
      <w:tr>
        <w:tc>
          <w:tcPr>
            <w:tcW w:type="dxa" w:w="2078"/>
          </w:tcPr>
          <w:p>
            <w:r>
              <w:rPr>
                <w:sz w:val="18"/>
              </w:rPr>
              <w:t>XK-02</w:t>
            </w:r>
          </w:p>
        </w:tc>
        <w:tc>
          <w:tcPr>
            <w:tcW w:type="dxa" w:w="2078"/>
          </w:tcPr>
          <w:p>
            <w:r>
              <w:rPr>
                <w:sz w:val="18"/>
              </w:rPr>
              <w:t>星空读书会／场地押金</w:t>
            </w:r>
          </w:p>
        </w:tc>
        <w:tc>
          <w:tcPr>
            <w:tcW w:type="dxa" w:w="2078"/>
          </w:tcPr>
          <w:p>
            <w:r>
              <w:rPr>
                <w:sz w:val="18"/>
              </w:rPr>
              <w:t>2026-10-12银行转账回单，60.00元；合同约定活动结束后可退；截至2026-10-31未收到退款。</w:t>
            </w:r>
          </w:p>
        </w:tc>
        <w:tc>
          <w:tcPr>
            <w:tcW w:type="dxa" w:w="2078"/>
          </w:tcPr>
          <w:p>
            <w:r>
              <w:rPr>
                <w:sz w:val="18"/>
              </w:rPr>
              <w:t>核对合同与退款状态；记录为待退还款项，不与普通活动费用混淆。</w:t>
            </w:r>
          </w:p>
        </w:tc>
      </w:tr>
      <w:tr>
        <w:tc>
          <w:tcPr>
            <w:tcW w:type="dxa" w:w="2078"/>
          </w:tcPr>
          <w:p>
            <w:r>
              <w:rPr>
                <w:sz w:val="18"/>
              </w:rPr>
              <w:t>XK-03</w:t>
            </w:r>
          </w:p>
        </w:tc>
        <w:tc>
          <w:tcPr>
            <w:tcW w:type="dxa" w:w="2078"/>
          </w:tcPr>
          <w:p>
            <w:r>
              <w:rPr>
                <w:sz w:val="18"/>
              </w:rPr>
              <w:t>星空读书会／活动资料</w:t>
            </w:r>
          </w:p>
        </w:tc>
        <w:tc>
          <w:tcPr>
            <w:tcW w:type="dxa" w:w="2078"/>
          </w:tcPr>
          <w:p>
            <w:r>
              <w:rPr>
                <w:sz w:val="18"/>
              </w:rPr>
              <w:t>活动日期为2026-10-18；签到表于10-19补填；两张相关收据日期为10-17、10-18，合计75.00元。</w:t>
            </w:r>
          </w:p>
        </w:tc>
        <w:tc>
          <w:tcPr>
            <w:tcW w:type="dxa" w:w="2078"/>
          </w:tcPr>
          <w:p>
            <w:r>
              <w:rPr>
                <w:sz w:val="18"/>
              </w:rPr>
              <w:t>日期不同不自动等于错误；保留原件，记录活动负责人关于补填及提前采购的说明。</w:t>
            </w:r>
          </w:p>
        </w:tc>
      </w:tr>
      <w:tr>
        <w:tc>
          <w:tcPr>
            <w:tcW w:type="dxa" w:w="2078"/>
          </w:tcPr>
          <w:p>
            <w:r>
              <w:rPr>
                <w:sz w:val="18"/>
              </w:rPr>
              <w:t>QH-01</w:t>
            </w:r>
          </w:p>
        </w:tc>
        <w:tc>
          <w:tcPr>
            <w:tcW w:type="dxa" w:w="2078"/>
          </w:tcPr>
          <w:p>
            <w:r>
              <w:rPr>
                <w:sz w:val="18"/>
              </w:rPr>
              <w:t>青禾文具／办公用品采购</w:t>
            </w:r>
          </w:p>
        </w:tc>
        <w:tc>
          <w:tcPr>
            <w:tcW w:type="dxa" w:w="2078"/>
          </w:tcPr>
          <w:p>
            <w:r>
              <w:rPr>
                <w:sz w:val="18"/>
              </w:rPr>
              <w:t>采购单日期10-27；发票日期10-27，金额360.00元；入库单日期10-30，品名、数量相符。</w:t>
            </w:r>
          </w:p>
        </w:tc>
        <w:tc>
          <w:tcPr>
            <w:tcW w:type="dxa" w:w="2078"/>
          </w:tcPr>
          <w:p>
            <w:r>
              <w:rPr>
                <w:sz w:val="18"/>
              </w:rPr>
              <w:t>发票与入库日期相差3天；核对订单、收货和开票说明，不擅自改动日期。</w:t>
            </w:r>
          </w:p>
        </w:tc>
      </w:tr>
      <w:tr>
        <w:tc>
          <w:tcPr>
            <w:tcW w:type="dxa" w:w="2078"/>
          </w:tcPr>
          <w:p>
            <w:r>
              <w:rPr>
                <w:sz w:val="18"/>
              </w:rPr>
              <w:t>QH-02</w:t>
            </w:r>
          </w:p>
        </w:tc>
        <w:tc>
          <w:tcPr>
            <w:tcW w:type="dxa" w:w="2078"/>
          </w:tcPr>
          <w:p>
            <w:r>
              <w:rPr>
                <w:sz w:val="18"/>
              </w:rPr>
              <w:t>青禾文具／差旅报销</w:t>
            </w:r>
          </w:p>
        </w:tc>
        <w:tc>
          <w:tcPr>
            <w:tcW w:type="dxa" w:w="2078"/>
          </w:tcPr>
          <w:p>
            <w:r>
              <w:rPr>
                <w:sz w:val="18"/>
              </w:rPr>
              <w:t>2026-10-22交通票据，金额420.00元；附有报销单，但未附出差审批单。</w:t>
            </w:r>
          </w:p>
        </w:tc>
        <w:tc>
          <w:tcPr>
            <w:tcW w:type="dxa" w:w="2078"/>
          </w:tcPr>
          <w:p>
            <w:r>
              <w:rPr>
                <w:sz w:val="18"/>
              </w:rPr>
              <w:t>核对报销单上的出差人员、事由及审批材料；缺少的依据应列出并向经办人补充核实。</w:t>
            </w:r>
          </w:p>
        </w:tc>
      </w:tr>
      <w:tr>
        <w:tc>
          <w:tcPr>
            <w:tcW w:type="dxa" w:w="2078"/>
          </w:tcPr>
          <w:p>
            <w:r>
              <w:rPr>
                <w:sz w:val="18"/>
              </w:rPr>
              <w:t>XK-04</w:t>
            </w:r>
          </w:p>
        </w:tc>
        <w:tc>
          <w:tcPr>
            <w:tcW w:type="dxa" w:w="2078"/>
          </w:tcPr>
          <w:p>
            <w:r>
              <w:rPr>
                <w:sz w:val="18"/>
              </w:rPr>
              <w:t>星空读书会／交通支出</w:t>
            </w:r>
          </w:p>
        </w:tc>
        <w:tc>
          <w:tcPr>
            <w:tcW w:type="dxa" w:w="2078"/>
          </w:tcPr>
          <w:p>
            <w:r>
              <w:rPr>
                <w:sz w:val="18"/>
              </w:rPr>
              <w:t>2026-10-22公交电子票，28.00元；票面有日期和金额，报销单未写对应活动或用途。</w:t>
            </w:r>
          </w:p>
        </w:tc>
        <w:tc>
          <w:tcPr>
            <w:tcW w:type="dxa" w:w="2078"/>
          </w:tcPr>
          <w:p>
            <w:r>
              <w:rPr>
                <w:sz w:val="18"/>
              </w:rPr>
              <w:t>补查经办人说明及活动审批资料；未核实前不得凭印象补写用途。</w:t>
            </w:r>
          </w:p>
        </w:tc>
      </w:tr>
    </w:tbl>
    <w:p>
      <w:pPr>
        <w:pStyle w:val="Heading3"/>
      </w:pPr>
      <w:r>
        <w:t xml:space="preserve">任务要求</w:t>
      </w:r>
    </w:p>
    <w:p>
      <w:r>
        <w:t>1.票据整理（20分）：根据表14-3提供的票据与业务资料样例，列出需要整理的资料清单，写出编号规则，并说明至少三类缺失项及处理办法；无需另行收集或自拟票据。</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表14-4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