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图4-1 以思维导图展示学习目标。本项目的知识要点以知识图谱形式归纳在项目总结部分（图4-8）。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图4-2 小何向财务人员提交报销材料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小何整理报销票据</w:t>
      </w:r>
    </w:p>
    <w:p>
      <w:pPr>
        <w:ind w:firstLine="0"/>
      </w:pP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可能缺少购买方单位名称等信息，无法单独证明这笔支出归属于哪个单位；同时，外部小票也不能替代单位内部报销单、审批签字等材料来证明审批流程已完成。应分别核对外部票据与内部报销材料，不应把审批人信息误当作小票必须具备的外部票据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因此，小票通常不能单独代替单位要求的报销凭证；能否作为辅助材料、是否需要补开发票或其他证明，应按单位制度和相关规定判断。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暂不能报销”不等于“没有发生支出”。社团采购即使暂未取得符合学院要求的票据，也应照实记入收支记录，并按制度补充材料；在票据和材料符合要求前，不应作为已审核通过的报销支出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r>
              <w:t>属于电子客票，核对乘车人、乘车日期、区间、票价及凭证状态；是否还需其他材料，以单位制度为准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r>
              <w:t>通常不能单独替代单位规定的报销凭证；能否报销及需补充哪些材料，以单位制度为准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图4-4 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常见票据的审核维度矩阵（热力图）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应按票据类型核对适用字段。铁路客票重点核对乘车人、日期、区间和票价等；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>
              <w:t>发票代码/号码（按票种）</w:t>
            </w:r>
          </w:p>
        </w:tc>
        <w:tc>
          <w:tcPr>
            <w:tcW w:type="dxa" w:w="1662"/>
          </w:tcPr>
          <w:p>
            <w:r>
              <w:t>按票种核对唯一号码；数电发票使用20位发票号码，不要求填写发票代码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r>
              <w:t>用于官方查验和重复报销检查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你是一名财务助理。请识别我上传的发票，并按以下字段输出为表格：发票类型、发票代码（如适用）、发票号码、开票日期、购买方名称、购买方税号、销售方名称、项目名称、金额、税率、税额、价税合计。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纸质发票可按票种在税务机关提供的渠道输入发票代码（如适用）、号码、开票日期和金额查验；数电发票使用20位发票号码等信息，通过电子发票服务平台或全国增值税发票查验平台查验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图4-5 展示了上述核对流程，可以作为操作时的参考。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大模型识别票据信息的核对流程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本例学院要求采购报销提供发票；该收据不符合本例要求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先向文具店询问能否按实际业务补开发票；不能补开时按学院制度处理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暂不报销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按本例学院要求需提供正式票据；小票无单位信息，不能单独证明单位用途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保留为社团支出记录，按学院要求补充正式票据或其他认可材料；获认可前不列入报销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及相关业务材料符合学院要求，能够证明这笔钱的用途和归属，才可以申请报销”。她还意识到，为了让财务老师顺利审核，以后采购时应当先问清楚对方能否按实际业务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ind w:firstLine="0"/>
      </w:pP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三、审核流程、分工与三类典型问题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/>
      <w:r>
        <w:rPr>
          <w:rFonts w:ascii="黑体" w:hAnsi="黑体" w:eastAsia="黑体"/>
          <w:b/>
        </w:rPr>
        <w:t>（二）审核的流程与分工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图4-6 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/>
      <w:r>
        <w:rPr>
          <w:rFonts w:ascii="黑体" w:hAnsi="黑体" w:eastAsia="黑体"/>
          <w:b/>
        </w:rPr>
        <w:t>（三）三类典型问题的分析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四、实践：用大模型生成清单，再用清单审核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她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ind w:firstLine="0"/>
      </w:pP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三、报销单的逐项核对与人机边界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r>
              <w:t>停车小票</w:t>
            </w:r>
          </w:p>
        </w:tc>
        <w:tc>
          <w:tcPr>
            <w:tcW w:type="dxa" w:w="2771"/>
          </w:tcPr>
          <w:p>
            <w:r>
              <w:t>12.00</w:t>
            </w:r>
          </w:p>
        </w:tc>
        <w:tc>
          <w:tcPr>
            <w:tcW w:type="dxa" w:w="2771"/>
          </w:tcPr>
          <w:p>
            <w:r>
              <w:t>按票面金额</w:t>
            </w:r>
          </w:p>
        </w:tc>
      </w:tr>
      <w:tr>
        <w:tc>
          <w:tcPr>
            <w:tcW w:type="dxa" w:w="2771"/>
          </w:tcPr>
          <w:p>
            <w:r>
              <w:t>按票据逐张重新加总</w:t>
            </w:r>
          </w:p>
        </w:tc>
        <w:tc>
          <w:tcPr>
            <w:tcW w:type="dxa" w:w="2771"/>
          </w:tcPr>
          <w:p>
            <w:r>
              <w:t>1003.00</w:t>
            </w:r>
          </w:p>
        </w:tc>
        <w:tc>
          <w:tcPr>
            <w:tcW w:type="dxa" w:w="2771"/>
          </w:tcPr>
          <w:p>
            <w:r>
              <w:t>553.00 + 88.00 + 318.00 + 32.00 + 12.00</w:t>
            </w:r>
          </w:p>
        </w:tc>
      </w:tr>
      <w:tr>
        <w:tc>
          <w:tcPr>
            <w:tcW w:type="dxa" w:w="2771"/>
          </w:tcPr>
          <w:p>
            <w:r>
              <w:t>报销单原合计</w:t>
            </w:r>
          </w:p>
        </w:tc>
        <w:tc>
          <w:tcPr>
            <w:tcW w:type="dxa" w:w="2771"/>
          </w:tcPr>
          <w:p>
            <w:r>
              <w:t>1015.00</w:t>
            </w:r>
          </w:p>
        </w:tc>
        <w:tc>
          <w:tcPr>
            <w:tcW w:type="dxa" w:w="2771"/>
          </w:tcPr>
          <w:p>
            <w:r>
              <w:t>大模型重复计入一张12.00元停车小票</w:t>
            </w:r>
          </w:p>
        </w:tc>
      </w:tr>
      <w:tr>
        <w:tc>
          <w:tcPr>
            <w:tcW w:type="dxa" w:w="2771"/>
          </w:tcPr>
          <w:p>
            <w:r>
              <w:t>差额</w:t>
            </w:r>
          </w:p>
        </w:tc>
        <w:tc>
          <w:tcPr>
            <w:tcW w:type="dxa" w:w="2771"/>
          </w:tcPr>
          <w:p>
            <w:r>
              <w:t>12.00</w:t>
            </w:r>
          </w:p>
        </w:tc>
        <w:tc>
          <w:tcPr>
            <w:tcW w:type="dxa" w:w="2771"/>
          </w:tcPr>
          <w:p>
            <w:r>
              <w:t>原合计1015.00－唯一票据合计1003.00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/>
      <w:r>
        <w:rPr>
          <w:rFonts w:ascii="黑体" w:hAnsi="黑体" w:eastAsia="黑体"/>
          <w:b/>
        </w:rPr>
        <w:t>（二）使用边界：哪些事情不能交给大模型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r>
              <w:t>1015.00</w:t>
            </w:r>
          </w:p>
        </w:tc>
        <w:tc>
          <w:tcPr>
            <w:tcW w:type="dxa" w:w="1385"/>
          </w:tcPr>
          <w:p>
            <w:r>
              <w:t>1003.00</w:t>
            </w:r>
          </w:p>
        </w:tc>
        <w:tc>
          <w:tcPr>
            <w:tcW w:type="dxa" w:w="1385"/>
          </w:tcPr>
          <w:p>
            <w:r>
              <w:t>停车小票12.00元被重复录入；按唯一票据重算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rPr>
          <w:rFonts w:ascii="Times New Roman" w:hAnsi="Times New Roman" w:cs="Times New Roman" w:eastAsia="宋体"/>
          <w:b w:val="0"/>
          <w:sz w:val="24"/>
        </w:rPr>
        <w:t>图4-7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人机分工的审核流程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 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p>
      <w:pPr>
        <w:pStyle w:val="Heading2"/>
      </w:pPr>
      <w:r>
        <w:t>【拓展】（选学）</w:t>
      </w:r>
    </w:p>
    <w:p>
      <w:pPr>
        <w:pStyle w:val="Heading3"/>
      </w:pPr>
      <w:r>
        <w:t>任务4.1 拓展：票据的唯一性</w:t>
      </w:r>
    </w:p>
    <w:p>
      <w:pPr>
        <w:pStyle w:val="Heading3"/>
      </w:pPr>
      <w:r>
        <w:t>任务4.2 拓展：检查清单不必对所有项目一视同仁</w:t>
      </w:r>
    </w:p>
    <w:p>
      <w:pPr>
        <w:pStyle w:val="Heading3"/>
      </w:pPr>
      <w:r>
        <w:t>任务4.3 拓展：一张票据可能同时服务于多个项目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r>
        <w:rPr>
          <w:rFonts w:ascii="Times New Roman" w:hAnsi="Times New Roman" w:cs="Times New Roman" w:eastAsia="宋体"/>
          <w:b w:val="0"/>
          <w:sz w:val="24"/>
        </w:rPr>
        <w:t>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按票种核对适用的发票代码与号码、开票日期和金额；数电发票以20位发票号码为准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她，只是请她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r>
        <w:rPr>
          <w:rFonts w:ascii="Times New Roman" w:hAnsi="Times New Roman" w:cs="Times New Roman" w:eastAsia="宋体"/>
          <w:b w:val="0"/>
          <w:sz w:val="24"/>
        </w:rPr>
        <w:t>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r>
        <w:rPr>
          <w:rFonts w:ascii="Times New Roman" w:hAnsi="Times New Roman" w:cs="Times New Roman" w:eastAsia="宋体"/>
          <w:b w:val="0"/>
          <w:sz w:val="24"/>
        </w:rPr>
        <w:t>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pStyle w:val="Heading3"/>
      </w:pPr>
      <w:r>
        <w:t>项目拓展：票据的报销规则与归档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