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wp14="http://schemas.microsoft.com/office/word/2010/wordprocessingDrawing"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body>
    <w:p>
      <w:pPr>
        <w:pStyle w:val="15"/>
        <w:keepNext w:val="0"/>
        <w:keepLines w:val="0"/>
        <w:pageBreakBefore w:val="0"/>
        <w:widowControl/>
        <w:kinsoku/>
        <w:wordWrap/>
        <w:overflowPunct/>
        <w:topLinePunct w:val="0"/>
        <w:autoSpaceDE/>
        <w:autoSpaceDN/>
        <w:bidi w:val="0"/>
        <w:adjustRightInd/>
        <w:snapToGrid/>
        <w:spacing w:before="0" w:after="0" w:line="700" w:lineRule="exact"/>
        <w:ind w:left="0" w:right="0" w:firstLine="0"/>
        <w:jc w:val="center"/>
        <w:textAlignment w:val="auto"/>
        <w:outlineLvl w:val="9"/>
        <w:rPr>
          <w:rFonts w:ascii="方正小标宋_GBK" w:eastAsia="方正小标宋_GBK" w:cs="方正小标宋_GBK" w:hAnsi="方正小标宋_GBK" w:hint="eastAsia"/>
          <w:b w:val="0"/>
          <w:bCs/>
          <w:sz w:val="44"/>
          <w:szCs w:val="44"/>
          <w:highlight w:val="none"/>
        </w:rPr>
      </w:pPr>
      <w:bookmarkStart w:id="0" w:name="_GoBack"/>
      <w:bookmarkEnd w:id="0"/>
      <w:r>
        <w:rPr>
          <w:rFonts w:ascii="方正小标宋_GBK" w:eastAsia="方正小标宋_GBK" w:cs="方正小标宋_GBK" w:hAnsi="方正小标宋_GBK" w:hint="eastAsia"/>
          <w:b w:val="0"/>
          <w:bCs/>
          <w:sz w:val="44"/>
          <w:szCs w:val="44"/>
          <w:highlight w:val="none"/>
        </w:rPr>
        <w:t>石家庄邮电职业技术学院</w:t>
      </w:r>
    </w:p>
    <w:p>
      <w:pPr>
        <w:pStyle w:val="15"/>
        <w:keepNext w:val="0"/>
        <w:keepLines w:val="0"/>
        <w:pageBreakBefore w:val="0"/>
        <w:widowControl/>
        <w:kinsoku/>
        <w:wordWrap/>
        <w:overflowPunct/>
        <w:topLinePunct w:val="0"/>
        <w:autoSpaceDE/>
        <w:autoSpaceDN/>
        <w:bidi w:val="0"/>
        <w:adjustRightInd/>
        <w:snapToGrid/>
        <w:spacing w:before="0" w:after="0" w:line="700" w:lineRule="exact"/>
        <w:ind w:left="0" w:right="0" w:firstLine="0"/>
        <w:jc w:val="center"/>
        <w:textAlignment w:val="auto"/>
        <w:outlineLvl w:val="9"/>
        <w:rPr>
          <w:rFonts w:ascii="方正小标宋_GBK" w:eastAsia="方正小标宋_GBK" w:cs="方正小标宋_GBK" w:hAnsi="方正小标宋_GBK" w:hint="eastAsia"/>
          <w:b w:val="0"/>
          <w:bCs/>
          <w:sz w:val="44"/>
          <w:szCs w:val="44"/>
          <w:lang w:eastAsia="zh-CN"/>
          <w:highlight w:val="none"/>
        </w:rPr>
      </w:pPr>
      <w:r>
        <w:rPr>
          <w:rFonts w:ascii="方正小标宋_GBK" w:eastAsia="方正小标宋_GBK" w:cs="方正小标宋_GBK" w:hAnsi="方正小标宋_GBK" w:hint="eastAsia"/>
          <w:b w:val="0"/>
          <w:bCs/>
          <w:sz w:val="44"/>
          <w:szCs w:val="44"/>
          <w:highlight w:val="none"/>
        </w:rPr>
        <w:t>职称推荐评审委员会管理规定</w:t>
      </w:r>
      <w:r>
        <w:rPr>
          <w:rFonts w:ascii="方正小标宋_GBK" w:eastAsia="方正小标宋_GBK" w:cs="方正小标宋_GBK" w:hAnsi="方正小标宋_GBK" w:hint="eastAsia"/>
          <w:b w:val="0"/>
          <w:bCs/>
          <w:sz w:val="44"/>
          <w:szCs w:val="44"/>
          <w:lang w:eastAsia="zh-CN"/>
          <w:highlight w:val="none"/>
        </w:rPr>
        <w:t>（</w:t>
      </w:r>
      <w:r>
        <w:rPr>
          <w:rFonts w:ascii="方正小标宋_GBK" w:eastAsia="方正小标宋_GBK" w:cs="方正小标宋_GBK" w:hAnsi="方正小标宋_GBK" w:hint="eastAsia"/>
          <w:b w:val="0"/>
          <w:bCs/>
          <w:sz w:val="44"/>
          <w:szCs w:val="44"/>
          <w:lang w:val="en-US" w:eastAsia="zh-CN"/>
          <w:highlight w:val="none"/>
        </w:rPr>
        <w:t>2025年版</w:t>
      </w:r>
      <w:r>
        <w:rPr>
          <w:rFonts w:ascii="方正小标宋_GBK" w:eastAsia="方正小标宋_GBK" w:cs="方正小标宋_GBK" w:hAnsi="方正小标宋_GBK" w:hint="eastAsia"/>
          <w:b w:val="0"/>
          <w:bCs/>
          <w:sz w:val="44"/>
          <w:szCs w:val="44"/>
          <w:lang w:eastAsia="zh-CN"/>
          <w:highlight w:val="none"/>
        </w:rPr>
        <w:t>）</w:t>
      </w:r>
    </w:p>
    <w:p>
      <w:pPr>
        <w:pStyle w:val="15"/>
        <w:spacing w:line="600" w:lineRule="exact"/>
        <w:ind w:firstLineChars="200" w:firstLine="640"/>
        <w:rPr>
          <w:rFonts w:ascii="Arial Narrow" w:eastAsia="黑体" w:hAnsi="Arial Narrow" w:hint="eastAsia"/>
          <w:sz w:val="32"/>
          <w:szCs w:val="32"/>
          <w:highlight w:val="none"/>
        </w:rPr>
      </w:pPr>
    </w:p>
    <w:p>
      <w:pPr>
        <w:pStyle w:val="15"/>
        <w:spacing w:line="600" w:lineRule="exact"/>
        <w:jc w:val="center"/>
        <w:outlineLvl w:val="0"/>
        <w:rPr>
          <w:rFonts w:ascii="Arial Narrow" w:eastAsia="黑体" w:hAnsi="Arial Narrow"/>
          <w:sz w:val="32"/>
          <w:szCs w:val="32"/>
          <w:lang w:val="en-US" w:eastAsia="zh-CN"/>
          <w:highlight w:val="none"/>
        </w:rPr>
      </w:pPr>
      <w:r>
        <w:rPr>
          <w:rFonts w:ascii="Arial Narrow" w:eastAsia="黑体" w:hAnsi="Arial Narrow" w:hint="eastAsia"/>
          <w:sz w:val="32"/>
          <w:szCs w:val="32"/>
          <w:lang w:val="en-US" w:eastAsia="zh-CN"/>
          <w:highlight w:val="none"/>
        </w:rPr>
        <w:t>第一章  总</w:t>
      </w:r>
      <w:r>
        <w:rPr>
          <w:rFonts w:ascii="Arial Narrow" w:eastAsia="黑体" w:hAnsi="Arial Narrow"/>
          <w:sz w:val="32"/>
          <w:szCs w:val="32"/>
          <w:lang w:val="en-US" w:eastAsia="zh-CN"/>
          <w:highlight w:val="none"/>
        </w:rPr>
        <w:t xml:space="preserve">  </w:t>
      </w:r>
      <w:r>
        <w:rPr>
          <w:rFonts w:ascii="Arial Narrow" w:eastAsia="黑体" w:hAnsi="Arial Narrow" w:hint="eastAsia"/>
          <w:sz w:val="32"/>
          <w:szCs w:val="32"/>
          <w:lang w:val="en-US" w:eastAsia="zh-CN"/>
          <w:highlight w:val="none"/>
        </w:rPr>
        <w:t>则</w:t>
      </w:r>
    </w:p>
    <w:p>
      <w:pPr>
        <w:pStyle w:val="15"/>
        <w:spacing w:line="600" w:lineRule="exact"/>
        <w:ind w:firstLineChars="200" w:firstLine="640"/>
        <w:rPr>
          <w:rFonts w:ascii="仿宋_GB2312" w:eastAsia="仿宋_GB2312" w:cs="仿宋_GB2312" w:hAnsi="仿宋_GB2312" w:hint="eastAsia"/>
          <w:sz w:val="32"/>
          <w:szCs w:val="32"/>
          <w:lang w:val="en-US" w:eastAsia="zh-CN"/>
          <w:highlight w:val="none"/>
        </w:rPr>
      </w:pPr>
      <w:r>
        <w:rPr>
          <w:rFonts w:ascii="仿宋_GB2312" w:eastAsia="仿宋_GB2312" w:cs="仿宋_GB2312" w:hAnsi="仿宋_GB2312" w:hint="eastAsia"/>
          <w:b/>
          <w:bCs/>
          <w:sz w:val="32"/>
          <w:szCs w:val="32"/>
          <w:lang w:val="en-US" w:eastAsia="zh-CN"/>
          <w:highlight w:val="none"/>
        </w:rPr>
        <w:t>第一条</w:t>
      </w:r>
      <w:r>
        <w:rPr>
          <w:rFonts w:ascii="仿宋_GB2312" w:eastAsia="仿宋_GB2312" w:cs="仿宋_GB2312" w:hAnsi="仿宋_GB2312" w:hint="eastAsia"/>
          <w:sz w:val="32"/>
          <w:szCs w:val="32"/>
          <w:lang w:val="en-US" w:eastAsia="zh-CN"/>
          <w:highlight w:val="none"/>
        </w:rPr>
        <w:t xml:space="preserve">  为加强对职称评审工作的组织领导，规范</w:t>
      </w:r>
      <w:r>
        <w:rPr>
          <w:rFonts w:cs="仿宋_GB2312" w:hAnsi="仿宋_GB2312" w:hint="eastAsia"/>
          <w:sz w:val="32"/>
          <w:szCs w:val="32"/>
          <w:lang w:val="en-US" w:eastAsia="zh-CN"/>
          <w:highlight w:val="none"/>
        </w:rPr>
        <w:t>职称推荐</w:t>
      </w:r>
      <w:r>
        <w:rPr>
          <w:rFonts w:ascii="仿宋_GB2312" w:eastAsia="仿宋_GB2312" w:cs="仿宋_GB2312" w:hAnsi="仿宋_GB2312" w:hint="eastAsia"/>
          <w:sz w:val="32"/>
          <w:szCs w:val="32"/>
          <w:lang w:val="en-US" w:eastAsia="zh-CN"/>
          <w:highlight w:val="none"/>
        </w:rPr>
        <w:t>评审委员会的评审行为，根据人力资源和社会保障部《职称评审管理暂行规定》</w:t>
      </w:r>
      <w:r>
        <w:rPr>
          <w:rFonts w:ascii="仿宋_GB2312" w:eastAsia="仿宋_GB2312" w:cs="仿宋_GB2312" w:hAnsi="仿宋_GB2312" w:hint="eastAsia"/>
          <w:sz w:val="32"/>
          <w:szCs w:val="32"/>
          <w:lang w:eastAsia="zh-CN"/>
          <w:highlight w:val="none"/>
        </w:rPr>
        <w:t>《</w:t>
      </w:r>
      <w:r>
        <w:rPr>
          <w:rFonts w:ascii="仿宋_GB2312" w:eastAsia="仿宋_GB2312" w:cs="仿宋_GB2312" w:hAnsi="仿宋_GB2312" w:hint="eastAsia"/>
          <w:sz w:val="32"/>
          <w:szCs w:val="32"/>
          <w:highlight w:val="none"/>
        </w:rPr>
        <w:t>中国邮政集团有限公司职称评聘管理办法（2025年修订版）</w:t>
      </w:r>
      <w:r>
        <w:rPr>
          <w:rFonts w:ascii="仿宋_GB2312" w:eastAsia="仿宋_GB2312" w:cs="仿宋_GB2312" w:hAnsi="仿宋_GB2312" w:hint="eastAsia"/>
          <w:sz w:val="32"/>
          <w:szCs w:val="32"/>
          <w:lang w:eastAsia="zh-CN"/>
          <w:highlight w:val="none"/>
        </w:rPr>
        <w:t>》（</w:t>
      </w:r>
      <w:r>
        <w:rPr>
          <w:rFonts w:ascii="仿宋_GB2312" w:eastAsia="仿宋_GB2312" w:cs="仿宋_GB2312" w:hAnsi="仿宋_GB2312" w:hint="eastAsia"/>
          <w:sz w:val="32"/>
          <w:szCs w:val="32"/>
          <w:highlight w:val="none"/>
        </w:rPr>
        <w:t>中邮〔202</w:t>
      </w:r>
      <w:r>
        <w:rPr>
          <w:rFonts w:cs="仿宋_GB2312" w:hAnsi="仿宋_GB2312" w:hint="eastAsia"/>
          <w:sz w:val="32"/>
          <w:szCs w:val="32"/>
          <w:lang w:val="en-US" w:eastAsia="zh-CN"/>
          <w:highlight w:val="none"/>
        </w:rPr>
        <w:t>5</w:t>
      </w:r>
      <w:r>
        <w:rPr>
          <w:rFonts w:ascii="仿宋_GB2312" w:eastAsia="仿宋_GB2312" w:cs="仿宋_GB2312" w:hAnsi="仿宋_GB2312" w:hint="eastAsia"/>
          <w:sz w:val="32"/>
          <w:szCs w:val="32"/>
          <w:highlight w:val="none"/>
        </w:rPr>
        <w:t>〕</w:t>
      </w:r>
      <w:r>
        <w:rPr>
          <w:rFonts w:cs="仿宋_GB2312" w:hAnsi="仿宋_GB2312" w:hint="eastAsia"/>
          <w:sz w:val="32"/>
          <w:szCs w:val="32"/>
          <w:lang w:val="en-US" w:eastAsia="zh-CN"/>
          <w:highlight w:val="none"/>
        </w:rPr>
        <w:t>31</w:t>
      </w:r>
      <w:r>
        <w:rPr>
          <w:rFonts w:ascii="仿宋_GB2312" w:eastAsia="仿宋_GB2312" w:cs="仿宋_GB2312" w:hAnsi="仿宋_GB2312" w:hint="eastAsia"/>
          <w:sz w:val="32"/>
          <w:szCs w:val="32"/>
          <w:highlight w:val="none"/>
        </w:rPr>
        <w:t>号</w:t>
      </w:r>
      <w:r>
        <w:rPr>
          <w:rFonts w:ascii="仿宋_GB2312" w:eastAsia="仿宋_GB2312" w:cs="仿宋_GB2312" w:hAnsi="仿宋_GB2312" w:hint="eastAsia"/>
          <w:sz w:val="32"/>
          <w:szCs w:val="32"/>
          <w:lang w:eastAsia="zh-CN"/>
          <w:highlight w:val="none"/>
        </w:rPr>
        <w:t>）</w:t>
      </w:r>
      <w:r>
        <w:rPr>
          <w:rFonts w:ascii="仿宋_GB2312" w:eastAsia="仿宋_GB2312" w:cs="仿宋_GB2312" w:hAnsi="仿宋_GB2312" w:hint="eastAsia"/>
          <w:sz w:val="32"/>
          <w:szCs w:val="32"/>
          <w:lang w:val="en-US" w:eastAsia="zh-CN"/>
          <w:highlight w:val="none"/>
        </w:rPr>
        <w:t>《河北省职称评审管理办法》（冀人社发〔2023〕1号）和</w:t>
      </w:r>
      <w:r>
        <w:rPr>
          <w:rFonts w:cs="仿宋_GB2312" w:hAnsi="仿宋_GB2312" w:hint="eastAsia"/>
          <w:sz w:val="32"/>
          <w:szCs w:val="32"/>
          <w:lang w:val="en-US" w:eastAsia="zh-CN"/>
          <w:highlight w:val="none"/>
        </w:rPr>
        <w:t>《石家庄邮电职业技术学院职称评审管理办法（2025年修订版）》</w:t>
      </w:r>
      <w:r>
        <w:rPr>
          <w:rFonts w:ascii="仿宋_GB2312" w:eastAsia="仿宋_GB2312" w:cs="仿宋_GB2312" w:hAnsi="仿宋_GB2312" w:hint="eastAsia"/>
          <w:sz w:val="32"/>
          <w:szCs w:val="32"/>
          <w:lang w:val="en-US" w:eastAsia="zh-CN"/>
          <w:highlight w:val="none"/>
        </w:rPr>
        <w:t>等有关规定，结合学院实际，制定本</w:t>
      </w:r>
      <w:r>
        <w:rPr>
          <w:rFonts w:cs="仿宋_GB2312" w:hAnsi="仿宋_GB2312" w:hint="eastAsia"/>
          <w:sz w:val="32"/>
          <w:szCs w:val="32"/>
          <w:lang w:val="en-US" w:eastAsia="zh-CN"/>
          <w:highlight w:val="none"/>
        </w:rPr>
        <w:t>规定</w:t>
      </w:r>
      <w:r>
        <w:rPr>
          <w:rFonts w:ascii="仿宋_GB2312" w:eastAsia="仿宋_GB2312" w:cs="仿宋_GB2312" w:hAnsi="仿宋_GB2312" w:hint="eastAsia"/>
          <w:sz w:val="32"/>
          <w:szCs w:val="32"/>
          <w:lang w:val="en-US" w:eastAsia="zh-CN"/>
          <w:highlight w:val="none"/>
        </w:rPr>
        <w:t>。</w:t>
      </w:r>
    </w:p>
    <w:p>
      <w:pPr>
        <w:pStyle w:val="15"/>
        <w:spacing w:line="600" w:lineRule="exact"/>
        <w:ind w:firstLineChars="200" w:firstLine="640"/>
        <w:rPr>
          <w:rFonts w:ascii="仿宋_GB2312" w:eastAsia="仿宋_GB2312" w:cs="仿宋_GB2312" w:hAnsi="仿宋_GB2312" w:hint="eastAsia"/>
          <w:sz w:val="32"/>
          <w:szCs w:val="32"/>
          <w:lang w:val="en-US" w:eastAsia="zh-CN"/>
          <w:highlight w:val="none"/>
        </w:rPr>
      </w:pPr>
      <w:r>
        <w:rPr>
          <w:rFonts w:ascii="仿宋_GB2312" w:eastAsia="仿宋_GB2312" w:cs="仿宋_GB2312" w:hAnsi="仿宋_GB2312" w:hint="eastAsia"/>
          <w:b/>
          <w:bCs/>
          <w:sz w:val="32"/>
          <w:szCs w:val="32"/>
          <w:lang w:val="en-US" w:eastAsia="zh-CN"/>
          <w:highlight w:val="none"/>
        </w:rPr>
        <w:t>第二条</w:t>
      </w:r>
      <w:r>
        <w:rPr>
          <w:rFonts w:ascii="仿宋_GB2312" w:eastAsia="仿宋_GB2312" w:cs="仿宋_GB2312" w:hAnsi="仿宋_GB2312" w:hint="eastAsia"/>
          <w:sz w:val="32"/>
          <w:szCs w:val="32"/>
          <w:lang w:val="en-US" w:eastAsia="zh-CN"/>
          <w:highlight w:val="none"/>
        </w:rPr>
        <w:t xml:space="preserve">  本规定适用于教师系列（含教师系列学生思想政治教育专业）高、中级职称评审委员会</w:t>
      </w:r>
      <w:r>
        <w:rPr>
          <w:rFonts w:cs="仿宋_GB2312" w:hAnsi="仿宋_GB2312" w:hint="eastAsia"/>
          <w:sz w:val="32"/>
          <w:szCs w:val="32"/>
          <w:lang w:val="en-US" w:eastAsia="zh-CN"/>
          <w:highlight w:val="none"/>
        </w:rPr>
        <w:t>，</w:t>
      </w:r>
      <w:r>
        <w:rPr>
          <w:rFonts w:hAnsi="黑体" w:hint="eastAsia"/>
          <w:sz w:val="32"/>
          <w:szCs w:val="32"/>
          <w:lang w:val="en-US" w:eastAsia="zh-CN"/>
          <w:highlight w:val="none"/>
        </w:rPr>
        <w:t>工程系列中级职称评审委员会，教师系列及委托河北省评审的其他系列职称推荐委员会和工程系列高级职称推荐委员会</w:t>
      </w:r>
      <w:r>
        <w:rPr>
          <w:rFonts w:ascii="仿宋_GB2312" w:eastAsia="仿宋_GB2312" w:cs="仿宋_GB2312" w:hAnsi="仿宋_GB2312" w:hint="eastAsia"/>
          <w:sz w:val="32"/>
          <w:szCs w:val="32"/>
          <w:lang w:val="en-US" w:eastAsia="zh-CN"/>
          <w:highlight w:val="none"/>
        </w:rPr>
        <w:t>。</w:t>
      </w:r>
    </w:p>
    <w:p>
      <w:pPr>
        <w:pStyle w:val="15"/>
        <w:spacing w:line="600" w:lineRule="exact"/>
        <w:jc w:val="center"/>
        <w:outlineLvl w:val="0"/>
        <w:rPr>
          <w:rFonts w:ascii="Arial Narrow" w:eastAsia="黑体" w:hAnsi="Arial Narrow"/>
          <w:sz w:val="32"/>
          <w:szCs w:val="32"/>
          <w:lang w:val="en-US" w:eastAsia="zh-CN"/>
          <w:highlight w:val="none"/>
        </w:rPr>
      </w:pPr>
    </w:p>
    <w:p>
      <w:pPr>
        <w:pStyle w:val="15"/>
        <w:spacing w:line="600" w:lineRule="exact"/>
        <w:jc w:val="center"/>
        <w:outlineLvl w:val="0"/>
        <w:rPr>
          <w:rFonts w:ascii="Arial Narrow" w:eastAsia="黑体" w:hAnsi="Arial Narrow" w:hint="eastAsia"/>
          <w:sz w:val="32"/>
          <w:szCs w:val="32"/>
          <w:lang w:val="en-US" w:eastAsia="zh-CN"/>
          <w:highlight w:val="none"/>
        </w:rPr>
      </w:pPr>
      <w:r>
        <w:rPr>
          <w:rFonts w:ascii="Arial Narrow" w:eastAsia="黑体" w:hAnsi="Arial Narrow" w:hint="eastAsia"/>
          <w:sz w:val="32"/>
          <w:szCs w:val="32"/>
          <w:lang w:val="en-US" w:eastAsia="zh-CN"/>
          <w:highlight w:val="none"/>
        </w:rPr>
        <w:t>第二章  职称推荐评审委员会的组建与调整</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cs="仿宋_GB2312" w:hAnsi="仿宋_GB2312" w:hint="eastAsia"/>
          <w:b/>
          <w:bCs/>
          <w:sz w:val="32"/>
          <w:szCs w:val="32"/>
          <w:lang w:val="en-US" w:eastAsia="zh-CN"/>
          <w:highlight w:val="none"/>
        </w:rPr>
        <w:t>第三条</w:t>
      </w:r>
      <w:r>
        <w:rPr>
          <w:rFonts w:cs="仿宋_GB2312" w:hAnsi="仿宋_GB2312" w:hint="eastAsia"/>
          <w:sz w:val="32"/>
          <w:szCs w:val="32"/>
          <w:lang w:val="en-US" w:eastAsia="zh-CN"/>
          <w:highlight w:val="none"/>
        </w:rPr>
        <w:t xml:space="preserve">  职称推荐评审委员会负责评议、认定专业技术人才学术技术水平和专业技术能力，对学院负责，受学院监督。</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cs="仿宋_GB2312" w:hAnsi="仿宋_GB2312" w:hint="eastAsia"/>
          <w:b/>
          <w:bCs/>
          <w:sz w:val="32"/>
          <w:szCs w:val="32"/>
          <w:lang w:val="en-US" w:eastAsia="zh-CN"/>
          <w:highlight w:val="none"/>
        </w:rPr>
        <w:t>第四条</w:t>
      </w:r>
      <w:r>
        <w:rPr>
          <w:rFonts w:cs="仿宋_GB2312" w:hAnsi="仿宋_GB2312" w:hint="eastAsia"/>
          <w:sz w:val="32"/>
          <w:szCs w:val="32"/>
          <w:lang w:val="en-US" w:eastAsia="zh-CN"/>
          <w:highlight w:val="none"/>
        </w:rPr>
        <w:t xml:space="preserve">  学院组建教师系列（含教师系列学生思想政治教育专业）高、中级职称评审委员会，负责教师系列（含教师系列学生思想政治教育专业）高、中级职称评审工作，报河北省人力资源和社会保障厅审批后组织实施；</w:t>
      </w:r>
      <w:r>
        <w:rPr>
          <w:rFonts w:hAnsi="黑体" w:hint="eastAsia"/>
          <w:sz w:val="32"/>
          <w:szCs w:val="32"/>
          <w:lang w:val="en-US" w:eastAsia="zh-CN"/>
          <w:highlight w:val="none"/>
        </w:rPr>
        <w:t>组建工程系列中级职称评审委员会，负责工程系列中级职称评审工作，报</w:t>
      </w:r>
      <w:r>
        <w:rPr>
          <w:rFonts w:ascii="仿宋_GB2312" w:eastAsia="仿宋_GB2312" w:hint="eastAsia"/>
          <w:sz w:val="32"/>
          <w:szCs w:val="30"/>
          <w:highlight w:val="none"/>
        </w:rPr>
        <w:t>集团公司人力资源部备案</w:t>
      </w:r>
      <w:r>
        <w:rPr>
          <w:rFonts w:hint="eastAsia"/>
          <w:sz w:val="32"/>
          <w:szCs w:val="30"/>
          <w:lang w:val="en-US" w:eastAsia="zh-CN"/>
          <w:highlight w:val="none"/>
        </w:rPr>
        <w:t>后组织实施</w:t>
      </w:r>
      <w:r>
        <w:rPr>
          <w:rFonts w:hAnsi="黑体" w:hint="eastAsia"/>
          <w:sz w:val="32"/>
          <w:szCs w:val="32"/>
          <w:lang w:val="en-US" w:eastAsia="zh-CN"/>
          <w:highlight w:val="none"/>
        </w:rPr>
        <w:t>；组建教师系列及委托河北省评审的其他系列职称推荐委员会，负责教师系列及委托河北省评审的其他系列职称推荐工作；组建工程系列高级职称推荐委员会，负责工程系列高级职称推荐工作；初级职称（不含以考代评专业）不组织评审，实行考核认定。</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cs="仿宋_GB2312" w:hAnsi="仿宋_GB2312" w:hint="eastAsia"/>
          <w:b/>
          <w:bCs/>
          <w:sz w:val="32"/>
          <w:szCs w:val="32"/>
          <w:lang w:val="en-US" w:eastAsia="zh-CN"/>
          <w:highlight w:val="none"/>
        </w:rPr>
        <w:t>第五条</w:t>
      </w:r>
      <w:r>
        <w:rPr>
          <w:rFonts w:cs="仿宋_GB2312" w:hAnsi="仿宋_GB2312" w:hint="eastAsia"/>
          <w:sz w:val="32"/>
          <w:szCs w:val="32"/>
          <w:lang w:val="en-US" w:eastAsia="zh-CN"/>
          <w:highlight w:val="none"/>
        </w:rPr>
        <w:t xml:space="preserve">  教师系列（含教师系列学生思想政治教育专业）高、中级职称评审委员会的组建与调整</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hint="eastAsia"/>
          <w:sz w:val="32"/>
          <w:szCs w:val="32"/>
          <w:lang w:val="en-US" w:eastAsia="zh-CN"/>
          <w:highlight w:val="none"/>
        </w:rPr>
        <w:t>1.</w:t>
      </w:r>
      <w:r>
        <w:rPr>
          <w:rFonts w:cs="仿宋_GB2312" w:hAnsi="仿宋_GB2312"/>
          <w:sz w:val="32"/>
          <w:szCs w:val="32"/>
          <w:lang w:val="en-US" w:eastAsia="zh-CN"/>
          <w:highlight w:val="none"/>
        </w:rPr>
        <w:t>教师系列</w:t>
      </w:r>
      <w:r>
        <w:rPr>
          <w:rFonts w:cs="仿宋_GB2312" w:hAnsi="仿宋_GB2312" w:hint="eastAsia"/>
          <w:sz w:val="32"/>
          <w:szCs w:val="32"/>
          <w:lang w:val="en-US" w:eastAsia="zh-CN"/>
          <w:highlight w:val="none"/>
        </w:rPr>
        <w:t>（含教师系列学生思想政治教育专业）高、中级职称评审委员会不少于25</w:t>
      </w:r>
      <w:r>
        <w:rPr>
          <w:rFonts w:cs="仿宋_GB2312" w:hAnsi="仿宋_GB2312"/>
          <w:sz w:val="32"/>
          <w:szCs w:val="32"/>
          <w:lang w:val="en-US" w:eastAsia="zh-CN"/>
          <w:highlight w:val="none"/>
        </w:rPr>
        <w:t>人，设主任委员1名和副主任委员1-3名。教师系列</w:t>
      </w:r>
      <w:r>
        <w:rPr>
          <w:rFonts w:cs="仿宋_GB2312" w:hAnsi="仿宋_GB2312" w:hint="eastAsia"/>
          <w:sz w:val="32"/>
          <w:szCs w:val="32"/>
          <w:lang w:val="en-US" w:eastAsia="zh-CN"/>
          <w:highlight w:val="none"/>
        </w:rPr>
        <w:t>中级职称评审委员会与高级职称评审委员会</w:t>
      </w:r>
      <w:r>
        <w:rPr>
          <w:rFonts w:cs="仿宋_GB2312" w:hAnsi="仿宋_GB2312"/>
          <w:sz w:val="32"/>
          <w:szCs w:val="32"/>
          <w:lang w:val="en-US" w:eastAsia="zh-CN"/>
          <w:highlight w:val="none"/>
        </w:rPr>
        <w:t>一致。</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hint="eastAsia"/>
          <w:sz w:val="32"/>
          <w:szCs w:val="32"/>
          <w:lang w:val="en-US" w:eastAsia="zh-CN"/>
          <w:highlight w:val="none"/>
        </w:rPr>
        <w:t>2.评审委员会评审专家应当具备下列条件：</w:t>
      </w:r>
    </w:p>
    <w:p>
      <w:pPr>
        <w:pStyle w:val="15"/>
        <w:spacing w:line="600" w:lineRule="exact"/>
        <w:ind w:firstLineChars="200" w:firstLine="640"/>
        <w:rPr>
          <w:rFonts w:cs="仿宋_GB2312" w:hAnsi="仿宋_GB2312" w:hint="eastAsia"/>
          <w:sz w:val="32"/>
          <w:szCs w:val="32"/>
          <w:lang w:eastAsia="zh-CN"/>
          <w:highlight w:val="none"/>
        </w:rPr>
      </w:pPr>
      <w:r>
        <w:rPr>
          <w:rFonts w:cs="仿宋_GB2312" w:hAnsi="仿宋_GB2312" w:hint="eastAsia"/>
          <w:sz w:val="32"/>
          <w:szCs w:val="32"/>
          <w:lang w:eastAsia="zh-CN"/>
          <w:highlight w:val="none"/>
        </w:rPr>
        <w:t>（</w:t>
      </w:r>
      <w:r>
        <w:rPr>
          <w:rFonts w:cs="仿宋_GB2312" w:hAnsi="仿宋_GB2312" w:hint="eastAsia"/>
          <w:sz w:val="32"/>
          <w:szCs w:val="32"/>
          <w:lang w:val="en-US" w:eastAsia="zh-CN"/>
          <w:highlight w:val="none"/>
        </w:rPr>
        <w:t>1</w:t>
      </w:r>
      <w:r>
        <w:rPr>
          <w:rFonts w:cs="仿宋_GB2312" w:hAnsi="仿宋_GB2312" w:hint="eastAsia"/>
          <w:sz w:val="32"/>
          <w:szCs w:val="32"/>
          <w:lang w:eastAsia="zh-CN"/>
          <w:highlight w:val="none"/>
        </w:rPr>
        <w:t>）遵守宪法和法律，无违法和犯罪记录，具备良好的职业道德，公道正派；</w:t>
      </w:r>
    </w:p>
    <w:p>
      <w:pPr>
        <w:pStyle w:val="15"/>
        <w:spacing w:line="600" w:lineRule="exact"/>
        <w:ind w:firstLineChars="200" w:firstLine="640"/>
        <w:rPr>
          <w:rFonts w:cs="仿宋_GB2312" w:hAnsi="仿宋_GB2312" w:hint="eastAsia"/>
          <w:sz w:val="32"/>
          <w:szCs w:val="32"/>
          <w:lang w:eastAsia="zh-CN"/>
          <w:highlight w:val="none"/>
        </w:rPr>
      </w:pPr>
      <w:r>
        <w:rPr>
          <w:rFonts w:cs="仿宋_GB2312" w:hAnsi="仿宋_GB2312" w:hint="eastAsia"/>
          <w:sz w:val="32"/>
          <w:szCs w:val="32"/>
          <w:lang w:eastAsia="zh-CN"/>
          <w:highlight w:val="none"/>
        </w:rPr>
        <w:t>（</w:t>
      </w:r>
      <w:r>
        <w:rPr>
          <w:rFonts w:cs="仿宋_GB2312" w:hAnsi="仿宋_GB2312" w:hint="eastAsia"/>
          <w:sz w:val="32"/>
          <w:szCs w:val="32"/>
          <w:lang w:val="en-US" w:eastAsia="zh-CN"/>
          <w:highlight w:val="none"/>
        </w:rPr>
        <w:t>2</w:t>
      </w:r>
      <w:r>
        <w:rPr>
          <w:rFonts w:cs="仿宋_GB2312" w:hAnsi="仿宋_GB2312" w:hint="eastAsia"/>
          <w:sz w:val="32"/>
          <w:szCs w:val="32"/>
          <w:lang w:eastAsia="zh-CN"/>
          <w:highlight w:val="none"/>
        </w:rPr>
        <w:t>）获得</w:t>
      </w:r>
      <w:r>
        <w:rPr>
          <w:rFonts w:cs="仿宋_GB2312" w:hAnsi="仿宋_GB2312" w:hint="eastAsia"/>
          <w:sz w:val="32"/>
          <w:szCs w:val="32"/>
          <w:lang w:val="en-US" w:eastAsia="zh-CN"/>
          <w:highlight w:val="none"/>
        </w:rPr>
        <w:t>教师</w:t>
      </w:r>
      <w:r>
        <w:rPr>
          <w:rFonts w:cs="仿宋_GB2312" w:hAnsi="仿宋_GB2312" w:hint="eastAsia"/>
          <w:sz w:val="32"/>
          <w:szCs w:val="32"/>
          <w:lang w:eastAsia="zh-CN"/>
          <w:highlight w:val="none"/>
        </w:rPr>
        <w:t>系列（专业）或者相近系列（专业）相应层级的职称2年以上，从事本领域专业技术工作，在本领域具有较高影响力；</w:t>
      </w:r>
    </w:p>
    <w:p>
      <w:pPr>
        <w:pStyle w:val="15"/>
        <w:spacing w:line="600" w:lineRule="exact"/>
        <w:ind w:firstLineChars="200" w:firstLine="640"/>
        <w:rPr>
          <w:rFonts w:cs="仿宋_GB2312" w:hAnsi="仿宋_GB2312" w:hint="eastAsia"/>
          <w:sz w:val="32"/>
          <w:szCs w:val="32"/>
          <w:lang w:eastAsia="zh-CN"/>
          <w:highlight w:val="none"/>
        </w:rPr>
      </w:pPr>
      <w:r>
        <w:rPr>
          <w:rFonts w:cs="仿宋_GB2312" w:hAnsi="仿宋_GB2312" w:hint="eastAsia"/>
          <w:sz w:val="32"/>
          <w:szCs w:val="32"/>
          <w:lang w:eastAsia="zh-CN"/>
          <w:highlight w:val="none"/>
        </w:rPr>
        <w:t>（</w:t>
      </w:r>
      <w:r>
        <w:rPr>
          <w:rFonts w:cs="仿宋_GB2312" w:hAnsi="仿宋_GB2312" w:hint="eastAsia"/>
          <w:sz w:val="32"/>
          <w:szCs w:val="32"/>
          <w:lang w:val="en-US" w:eastAsia="zh-CN"/>
          <w:highlight w:val="none"/>
        </w:rPr>
        <w:t>3</w:t>
      </w:r>
      <w:r>
        <w:rPr>
          <w:rFonts w:cs="仿宋_GB2312" w:hAnsi="仿宋_GB2312" w:hint="eastAsia"/>
          <w:sz w:val="32"/>
          <w:szCs w:val="32"/>
          <w:lang w:eastAsia="zh-CN"/>
          <w:highlight w:val="none"/>
        </w:rPr>
        <w:t>）按要求参加</w:t>
      </w:r>
      <w:r>
        <w:rPr>
          <w:rFonts w:cs="仿宋_GB2312" w:hAnsi="仿宋_GB2312" w:hint="eastAsia"/>
          <w:sz w:val="32"/>
          <w:szCs w:val="32"/>
          <w:lang w:val="en-US" w:eastAsia="zh-CN"/>
          <w:highlight w:val="none"/>
        </w:rPr>
        <w:t>评审委员会</w:t>
      </w:r>
      <w:r>
        <w:rPr>
          <w:rFonts w:cs="仿宋_GB2312" w:hAnsi="仿宋_GB2312" w:hint="eastAsia"/>
          <w:sz w:val="32"/>
          <w:szCs w:val="32"/>
          <w:lang w:eastAsia="zh-CN"/>
          <w:highlight w:val="none"/>
        </w:rPr>
        <w:t>，能履行职称评审工作职责；</w:t>
      </w:r>
    </w:p>
    <w:p>
      <w:pPr>
        <w:pStyle w:val="15"/>
        <w:spacing w:line="600" w:lineRule="exact"/>
        <w:ind w:firstLineChars="200" w:firstLine="640"/>
        <w:rPr>
          <w:rFonts w:cs="仿宋_GB2312" w:hAnsi="仿宋_GB2312" w:hint="eastAsia"/>
          <w:sz w:val="32"/>
          <w:szCs w:val="32"/>
          <w:lang w:eastAsia="zh-CN"/>
          <w:highlight w:val="none"/>
        </w:rPr>
      </w:pPr>
      <w:r>
        <w:rPr>
          <w:rFonts w:cs="仿宋_GB2312" w:hAnsi="仿宋_GB2312" w:hint="eastAsia"/>
          <w:sz w:val="32"/>
          <w:szCs w:val="32"/>
          <w:lang w:eastAsia="zh-CN"/>
          <w:highlight w:val="none"/>
        </w:rPr>
        <w:t>（</w:t>
      </w:r>
      <w:r>
        <w:rPr>
          <w:rFonts w:cs="仿宋_GB2312" w:hAnsi="仿宋_GB2312" w:hint="eastAsia"/>
          <w:sz w:val="32"/>
          <w:szCs w:val="32"/>
          <w:lang w:val="en-US" w:eastAsia="zh-CN"/>
          <w:highlight w:val="none"/>
        </w:rPr>
        <w:t>4</w:t>
      </w:r>
      <w:r>
        <w:rPr>
          <w:rFonts w:cs="仿宋_GB2312" w:hAnsi="仿宋_GB2312" w:hint="eastAsia"/>
          <w:sz w:val="32"/>
          <w:szCs w:val="32"/>
          <w:lang w:eastAsia="zh-CN"/>
          <w:highlight w:val="none"/>
        </w:rPr>
        <w:t>）综合高级</w:t>
      </w:r>
      <w:r>
        <w:rPr>
          <w:rFonts w:cs="仿宋_GB2312" w:hAnsi="仿宋_GB2312" w:hint="eastAsia"/>
          <w:sz w:val="32"/>
          <w:szCs w:val="32"/>
          <w:lang w:val="en-US" w:eastAsia="zh-CN"/>
          <w:highlight w:val="none"/>
        </w:rPr>
        <w:t>职称评审委员会</w:t>
      </w:r>
      <w:r>
        <w:rPr>
          <w:rFonts w:cs="仿宋_GB2312" w:hAnsi="仿宋_GB2312" w:hint="eastAsia"/>
          <w:sz w:val="32"/>
          <w:szCs w:val="32"/>
          <w:lang w:eastAsia="zh-CN"/>
          <w:highlight w:val="none"/>
        </w:rPr>
        <w:t>或者单独组建的正高级</w:t>
      </w:r>
      <w:r>
        <w:rPr>
          <w:rFonts w:cs="仿宋_GB2312" w:hAnsi="仿宋_GB2312" w:hint="eastAsia"/>
          <w:sz w:val="32"/>
          <w:szCs w:val="32"/>
          <w:lang w:val="en-US" w:eastAsia="zh-CN"/>
          <w:highlight w:val="none"/>
        </w:rPr>
        <w:t>职称评审委员会</w:t>
      </w:r>
      <w:r>
        <w:rPr>
          <w:rFonts w:cs="仿宋_GB2312" w:hAnsi="仿宋_GB2312" w:hint="eastAsia"/>
          <w:sz w:val="32"/>
          <w:szCs w:val="32"/>
          <w:lang w:eastAsia="zh-CN"/>
          <w:highlight w:val="none"/>
        </w:rPr>
        <w:t>评审专家，原则上应当具备正高级职称；单独组建的副高级</w:t>
      </w:r>
      <w:r>
        <w:rPr>
          <w:rFonts w:cs="仿宋_GB2312" w:hAnsi="仿宋_GB2312" w:hint="eastAsia"/>
          <w:sz w:val="32"/>
          <w:szCs w:val="32"/>
          <w:lang w:val="en-US" w:eastAsia="zh-CN"/>
          <w:highlight w:val="none"/>
        </w:rPr>
        <w:t>职称评审委员会</w:t>
      </w:r>
      <w:r>
        <w:rPr>
          <w:rFonts w:cs="仿宋_GB2312" w:hAnsi="仿宋_GB2312" w:hint="eastAsia"/>
          <w:sz w:val="32"/>
          <w:szCs w:val="32"/>
          <w:lang w:eastAsia="zh-CN"/>
          <w:highlight w:val="none"/>
        </w:rPr>
        <w:t>评审专家，应当具备副高级及以上职称，其中具备正高级职称的人数原则上不得少于1/3。</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hint="eastAsia"/>
          <w:sz w:val="32"/>
          <w:szCs w:val="32"/>
          <w:lang w:val="en-US" w:eastAsia="zh-CN"/>
          <w:highlight w:val="none"/>
        </w:rPr>
        <w:t>3.评审委员会组建</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（1）建立评委库。学院建立教师系列（含教师系列学生思想政治教育专业）高级职称评委库，评委库人员数量原则上为评委会委员人数的3倍左右。评委库每3年调整一次，调整数量一般不少于在库人员总数的1/3。</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（2）评审委员会产生。教师系列高级职称评审委员会在每年评审开始前一周内，由河北省人力资源和社会保障厅从评委库随机抽取评委，评委会主任委员、副主任委员人选在抽取的评委中产生。</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（3）评审委员会调整。学院每年度对教师系列高级职称评审委员会评审专家调整一次，调整数量占上年度评审专家总数的1/3以上。评审专家连续参加同一评审会议一般不超过3年。</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hint="eastAsia"/>
          <w:b/>
          <w:bCs/>
          <w:sz w:val="32"/>
          <w:szCs w:val="32"/>
          <w:lang w:val="en-US" w:eastAsia="zh-CN"/>
          <w:highlight w:val="none"/>
        </w:rPr>
        <w:t>第六条</w:t>
      </w:r>
      <w:r>
        <w:rPr>
          <w:rFonts w:cs="仿宋_GB2312" w:hAnsi="仿宋_GB2312" w:hint="eastAsia"/>
          <w:sz w:val="32"/>
          <w:szCs w:val="32"/>
          <w:lang w:val="en-US" w:eastAsia="zh-CN"/>
          <w:highlight w:val="none"/>
        </w:rPr>
        <w:t xml:space="preserve">  </w:t>
      </w:r>
      <w:r>
        <w:rPr>
          <w:rFonts w:hAnsi="黑体" w:hint="eastAsia"/>
          <w:sz w:val="32"/>
          <w:szCs w:val="32"/>
          <w:lang w:val="en-US" w:eastAsia="zh-CN"/>
          <w:highlight w:val="none"/>
        </w:rPr>
        <w:t>工程系列中级职称评审委员会的组建与调整</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1.</w:t>
      </w:r>
      <w:r>
        <w:rPr>
          <w:rFonts w:hAnsi="黑体" w:hint="eastAsia"/>
          <w:sz w:val="32"/>
          <w:szCs w:val="32"/>
          <w:lang w:val="en-US" w:eastAsia="zh-CN"/>
          <w:highlight w:val="none"/>
        </w:rPr>
        <w:t>工程系列中级职称评审委员会不少于13人</w:t>
      </w:r>
      <w:r>
        <w:rPr>
          <w:rFonts w:hAnsi="黑体" w:hint="eastAsia"/>
          <w:sz w:val="32"/>
          <w:szCs w:val="32"/>
          <w:highlight w:val="none"/>
        </w:rPr>
        <w:t>，设主任委员1人，副主任委员2-3人。</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hAnsi="黑体" w:hint="eastAsia"/>
          <w:sz w:val="32"/>
          <w:szCs w:val="32"/>
          <w:highlight w:val="none"/>
        </w:rPr>
        <w:t>2.</w:t>
      </w:r>
      <w:r>
        <w:rPr>
          <w:rFonts w:hAnsi="黑体" w:hint="eastAsia"/>
          <w:sz w:val="32"/>
          <w:szCs w:val="32"/>
          <w:lang w:val="en-US" w:eastAsia="zh-CN"/>
          <w:highlight w:val="none"/>
        </w:rPr>
        <w:t>评审委员会</w:t>
      </w:r>
      <w:r>
        <w:rPr>
          <w:rFonts w:cs="仿宋_GB2312" w:hAnsi="仿宋_GB2312" w:hint="eastAsia"/>
          <w:sz w:val="32"/>
          <w:szCs w:val="32"/>
          <w:lang w:val="en-US" w:eastAsia="zh-CN"/>
          <w:highlight w:val="none"/>
        </w:rPr>
        <w:t>评审专家应当具备下列条件：</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（1）遵守宪法和法律；具有良好的思想政治素质，政策观念强，坚持原则，作风正派，办事公道，群众公认。</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（2）熟悉和了解本专业理论研究现状和前沿技术，学术造诣深，专业技术水平高，在本专业技术领域有较高的知名度或影响力。</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（3）取得本系列</w:t>
      </w:r>
      <w:r>
        <w:rPr>
          <w:rFonts w:hAnsi="黑体" w:hint="eastAsia"/>
          <w:sz w:val="32"/>
          <w:szCs w:val="32"/>
          <w:lang w:val="en-US" w:eastAsia="zh-CN"/>
          <w:highlight w:val="none"/>
        </w:rPr>
        <w:t>中级</w:t>
      </w:r>
      <w:r>
        <w:rPr>
          <w:rFonts w:hAnsi="黑体" w:hint="eastAsia"/>
          <w:sz w:val="32"/>
          <w:szCs w:val="32"/>
          <w:highlight w:val="none"/>
        </w:rPr>
        <w:t>职称3年及以上，其中</w:t>
      </w:r>
      <w:r>
        <w:rPr>
          <w:rFonts w:hAnsi="黑体" w:hint="eastAsia"/>
          <w:sz w:val="32"/>
          <w:szCs w:val="32"/>
          <w:lang w:eastAsia="zh-CN"/>
          <w:highlight w:val="none"/>
        </w:rPr>
        <w:t>，</w:t>
      </w:r>
      <w:r>
        <w:rPr>
          <w:rFonts w:hAnsi="黑体" w:hint="eastAsia"/>
          <w:sz w:val="32"/>
          <w:szCs w:val="32"/>
          <w:highlight w:val="none"/>
        </w:rPr>
        <w:t>具有副高级及以上职称人员一般应超过半数。</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（4）能够认真履行评委职责，自觉遵守评审工作纪律。</w:t>
      </w:r>
    </w:p>
    <w:p>
      <w:pPr>
        <w:pStyle w:val="15"/>
        <w:spacing w:line="600" w:lineRule="exact"/>
        <w:ind w:firstLineChars="200" w:firstLine="640"/>
        <w:rPr>
          <w:rFonts w:hAnsi="黑体" w:hint="eastAsia"/>
          <w:sz w:val="32"/>
          <w:szCs w:val="32"/>
          <w:lang w:val="en-US" w:eastAsia="zh-CN"/>
          <w:highlight w:val="none"/>
        </w:rPr>
      </w:pPr>
      <w:r>
        <w:rPr>
          <w:rFonts w:hAnsi="黑体" w:hint="eastAsia"/>
          <w:sz w:val="32"/>
          <w:szCs w:val="32"/>
          <w:highlight w:val="none"/>
        </w:rPr>
        <w:t>3.</w:t>
      </w:r>
      <w:r>
        <w:rPr>
          <w:rFonts w:hAnsi="黑体" w:hint="eastAsia"/>
          <w:sz w:val="32"/>
          <w:szCs w:val="32"/>
          <w:lang w:val="en-US" w:eastAsia="zh-CN"/>
          <w:highlight w:val="none"/>
        </w:rPr>
        <w:t>评审委员会组建</w:t>
      </w:r>
    </w:p>
    <w:p>
      <w:pPr>
        <w:pStyle w:val="15"/>
        <w:spacing w:line="600" w:lineRule="exact"/>
        <w:ind w:firstLineChars="200" w:firstLine="640"/>
        <w:rPr>
          <w:rFonts w:hAnsi="黑体" w:hint="eastAsia"/>
          <w:sz w:val="32"/>
          <w:szCs w:val="32"/>
          <w:lang w:val="en-US" w:eastAsia="zh-CN"/>
          <w:highlight w:val="none"/>
        </w:rPr>
      </w:pPr>
      <w:r>
        <w:rPr>
          <w:rFonts w:hAnsi="黑体" w:hint="eastAsia"/>
          <w:sz w:val="32"/>
          <w:szCs w:val="32"/>
          <w:lang w:val="en-US" w:eastAsia="zh-CN"/>
          <w:highlight w:val="none"/>
        </w:rPr>
        <w:t>（1）建立评委库。学院建立工程系列中级职称评委库，报集团公司人力资源部审核确定。评委库人员数量原则上为评委会委员人数的3倍左右。评委库每3年调整一次，调整数量一般不少于在库人员总数的1/3。</w:t>
      </w:r>
    </w:p>
    <w:p>
      <w:pPr>
        <w:pStyle w:val="15"/>
        <w:spacing w:line="600" w:lineRule="exact"/>
        <w:ind w:firstLineChars="200" w:firstLine="640"/>
        <w:rPr>
          <w:rFonts w:hAnsi="黑体" w:hint="eastAsia"/>
          <w:sz w:val="32"/>
          <w:szCs w:val="32"/>
          <w:lang w:val="en-US" w:eastAsia="zh-CN"/>
          <w:highlight w:val="none"/>
        </w:rPr>
      </w:pPr>
      <w:r>
        <w:rPr>
          <w:rFonts w:hAnsi="黑体" w:hint="eastAsia"/>
          <w:sz w:val="32"/>
          <w:szCs w:val="32"/>
          <w:lang w:val="en-US" w:eastAsia="zh-CN"/>
          <w:highlight w:val="none"/>
        </w:rPr>
        <w:t>（2）评审委员会产生。工程系列中级职称评审委员会在每年评审开始前一周内，由学院在评委库中随机抽取人选组建。</w:t>
      </w:r>
    </w:p>
    <w:p>
      <w:pPr>
        <w:pStyle w:val="15"/>
        <w:spacing w:line="600" w:lineRule="exact"/>
        <w:ind w:firstLineChars="200" w:firstLine="640"/>
        <w:rPr>
          <w:rFonts w:hAnsi="黑体"/>
          <w:sz w:val="32"/>
          <w:szCs w:val="32"/>
          <w:lang w:val="en-US" w:eastAsia="zh-CN"/>
          <w:highlight w:val="none"/>
        </w:rPr>
      </w:pPr>
      <w:r>
        <w:rPr>
          <w:rFonts w:hAnsi="黑体" w:hint="eastAsia"/>
          <w:sz w:val="32"/>
          <w:szCs w:val="32"/>
          <w:lang w:val="en-US" w:eastAsia="zh-CN"/>
          <w:highlight w:val="none"/>
        </w:rPr>
        <w:t>（3）评审委员会调整。评审委员会原则上每年调整一次，调整的委员数量一般不少于1/3，委员原则上不能连任3年。</w:t>
      </w:r>
    </w:p>
    <w:p>
      <w:pPr>
        <w:pStyle w:val="15"/>
        <w:spacing w:line="600" w:lineRule="exact"/>
        <w:ind w:firstLineChars="200" w:firstLine="640"/>
        <w:rPr>
          <w:rFonts w:eastAsia="仿宋_GB2312" w:hAnsi="黑体"/>
          <w:sz w:val="32"/>
          <w:szCs w:val="32"/>
          <w:lang w:val="en-US" w:eastAsia="zh-CN"/>
          <w:highlight w:val="none"/>
        </w:rPr>
      </w:pPr>
      <w:r>
        <w:rPr>
          <w:rFonts w:hAnsi="黑体" w:hint="eastAsia"/>
          <w:b/>
          <w:bCs/>
          <w:sz w:val="32"/>
          <w:szCs w:val="32"/>
          <w:lang w:val="en-US" w:eastAsia="zh-CN"/>
          <w:highlight w:val="none"/>
        </w:rPr>
        <w:t>第七条</w:t>
      </w:r>
      <w:r>
        <w:rPr>
          <w:rFonts w:hAnsi="黑体" w:hint="eastAsia"/>
          <w:sz w:val="32"/>
          <w:szCs w:val="32"/>
          <w:lang w:val="en-US" w:eastAsia="zh-CN"/>
          <w:highlight w:val="none"/>
        </w:rPr>
        <w:t xml:space="preserve">  教师系列（</w:t>
      </w:r>
      <w:r>
        <w:rPr>
          <w:rFonts w:cs="仿宋_GB2312" w:hAnsi="仿宋_GB2312" w:hint="eastAsia"/>
          <w:sz w:val="32"/>
          <w:szCs w:val="32"/>
          <w:lang w:val="en-US" w:eastAsia="zh-CN"/>
          <w:highlight w:val="none"/>
        </w:rPr>
        <w:t>含教师系列学生思想政治教育专业</w:t>
      </w:r>
      <w:r>
        <w:rPr>
          <w:rFonts w:hAnsi="黑体" w:hint="eastAsia"/>
          <w:sz w:val="32"/>
          <w:szCs w:val="32"/>
          <w:lang w:val="en-US" w:eastAsia="zh-CN"/>
          <w:highlight w:val="none"/>
        </w:rPr>
        <w:t>）和委托河北省评审的其他系列</w:t>
      </w:r>
      <w:r>
        <w:rPr>
          <w:rFonts w:hAnsi="黑体" w:hint="eastAsia"/>
          <w:sz w:val="32"/>
          <w:szCs w:val="32"/>
          <w:highlight w:val="none"/>
        </w:rPr>
        <w:t>高级</w:t>
      </w:r>
      <w:r>
        <w:rPr>
          <w:rFonts w:hAnsi="黑体" w:hint="eastAsia"/>
          <w:sz w:val="32"/>
          <w:szCs w:val="32"/>
          <w:lang w:eastAsia="zh-CN"/>
          <w:highlight w:val="none"/>
        </w:rPr>
        <w:t>职称</w:t>
      </w:r>
      <w:r>
        <w:rPr>
          <w:rFonts w:hAnsi="黑体" w:hint="eastAsia"/>
          <w:sz w:val="32"/>
          <w:szCs w:val="32"/>
          <w:highlight w:val="none"/>
        </w:rPr>
        <w:t>推荐委员会</w:t>
      </w:r>
      <w:r>
        <w:rPr>
          <w:rFonts w:hAnsi="黑体" w:hint="eastAsia"/>
          <w:sz w:val="32"/>
          <w:szCs w:val="32"/>
          <w:lang w:val="en-US" w:eastAsia="zh-CN"/>
          <w:highlight w:val="none"/>
        </w:rPr>
        <w:t>的组建</w:t>
      </w:r>
    </w:p>
    <w:p>
      <w:pPr>
        <w:pStyle w:val="15"/>
        <w:spacing w:line="600" w:lineRule="exact"/>
        <w:ind w:firstLineChars="200" w:firstLine="640"/>
        <w:rPr>
          <w:rFonts w:eastAsia="仿宋_GB2312" w:hAnsi="黑体"/>
          <w:sz w:val="32"/>
          <w:szCs w:val="32"/>
          <w:lang w:val="en-US" w:eastAsia="zh-CN"/>
          <w:highlight w:val="none"/>
        </w:rPr>
      </w:pPr>
      <w:r>
        <w:rPr>
          <w:rFonts w:hAnsi="黑体" w:hint="eastAsia"/>
          <w:sz w:val="32"/>
          <w:szCs w:val="32"/>
          <w:highlight w:val="none"/>
        </w:rPr>
        <w:t>1.</w:t>
      </w:r>
      <w:r>
        <w:rPr>
          <w:rFonts w:hAnsi="黑体" w:hint="eastAsia"/>
          <w:sz w:val="32"/>
          <w:szCs w:val="32"/>
          <w:lang w:val="en-US" w:eastAsia="zh-CN"/>
          <w:highlight w:val="none"/>
        </w:rPr>
        <w:t>教师系列（</w:t>
      </w:r>
      <w:r>
        <w:rPr>
          <w:rFonts w:cs="仿宋_GB2312" w:hAnsi="仿宋_GB2312" w:hint="eastAsia"/>
          <w:sz w:val="32"/>
          <w:szCs w:val="32"/>
          <w:lang w:val="en-US" w:eastAsia="zh-CN"/>
          <w:highlight w:val="none"/>
        </w:rPr>
        <w:t>含教师系列学生思想政治教育专业</w:t>
      </w:r>
      <w:r>
        <w:rPr>
          <w:rFonts w:hAnsi="黑体" w:hint="eastAsia"/>
          <w:sz w:val="32"/>
          <w:szCs w:val="32"/>
          <w:lang w:val="en-US" w:eastAsia="zh-CN"/>
          <w:highlight w:val="none"/>
        </w:rPr>
        <w:t>）和委托河北省评审的其他系列</w:t>
      </w:r>
      <w:r>
        <w:rPr>
          <w:rFonts w:hAnsi="黑体" w:hint="eastAsia"/>
          <w:sz w:val="32"/>
          <w:szCs w:val="32"/>
          <w:highlight w:val="none"/>
        </w:rPr>
        <w:t>高级</w:t>
      </w:r>
      <w:r>
        <w:rPr>
          <w:rFonts w:hAnsi="黑体" w:hint="eastAsia"/>
          <w:sz w:val="32"/>
          <w:szCs w:val="32"/>
          <w:lang w:eastAsia="zh-CN"/>
          <w:highlight w:val="none"/>
        </w:rPr>
        <w:t>职称</w:t>
      </w:r>
      <w:r>
        <w:rPr>
          <w:rFonts w:hAnsi="黑体" w:hint="eastAsia"/>
          <w:sz w:val="32"/>
          <w:szCs w:val="32"/>
          <w:highlight w:val="none"/>
        </w:rPr>
        <w:t>推荐委员会由17-25人组成，设</w:t>
      </w:r>
      <w:r>
        <w:rPr>
          <w:rFonts w:hAnsi="黑体" w:hint="eastAsia"/>
          <w:sz w:val="32"/>
          <w:szCs w:val="32"/>
          <w:lang w:val="en-US" w:eastAsia="zh-CN"/>
          <w:highlight w:val="none"/>
        </w:rPr>
        <w:t>主任</w:t>
      </w:r>
      <w:r>
        <w:rPr>
          <w:rFonts w:hAnsi="黑体" w:hint="eastAsia"/>
          <w:sz w:val="32"/>
          <w:szCs w:val="32"/>
          <w:highlight w:val="none"/>
        </w:rPr>
        <w:t>1</w:t>
      </w:r>
      <w:r>
        <w:rPr>
          <w:rFonts w:hAnsi="黑体" w:hint="eastAsia"/>
          <w:sz w:val="32"/>
          <w:szCs w:val="32"/>
          <w:lang w:val="en-US" w:eastAsia="zh-CN"/>
          <w:highlight w:val="none"/>
        </w:rPr>
        <w:t>名</w:t>
      </w:r>
      <w:r>
        <w:rPr>
          <w:rFonts w:hAnsi="黑体" w:hint="eastAsia"/>
          <w:sz w:val="32"/>
          <w:szCs w:val="32"/>
          <w:highlight w:val="none"/>
        </w:rPr>
        <w:t>，副</w:t>
      </w:r>
      <w:r>
        <w:rPr>
          <w:rFonts w:hAnsi="黑体" w:hint="eastAsia"/>
          <w:sz w:val="32"/>
          <w:szCs w:val="32"/>
          <w:lang w:val="en-US" w:eastAsia="zh-CN"/>
          <w:highlight w:val="none"/>
        </w:rPr>
        <w:t>主任1-2名</w:t>
      </w:r>
      <w:r>
        <w:rPr>
          <w:rFonts w:hAnsi="黑体" w:hint="eastAsia"/>
          <w:sz w:val="32"/>
          <w:szCs w:val="32"/>
          <w:highlight w:val="none"/>
        </w:rPr>
        <w:t>，委员由相关部门负责人和具有高级职称的业务专家组成。推荐委员会实行任期制，每届任期三年。</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hAnsi="黑体" w:hint="eastAsia"/>
          <w:sz w:val="32"/>
          <w:szCs w:val="32"/>
          <w:lang w:val="en-US" w:eastAsia="zh-CN"/>
          <w:highlight w:val="none"/>
        </w:rPr>
        <w:t>2</w:t>
      </w:r>
      <w:r>
        <w:rPr>
          <w:rFonts w:hAnsi="黑体" w:hint="eastAsia"/>
          <w:sz w:val="32"/>
          <w:szCs w:val="32"/>
          <w:highlight w:val="none"/>
        </w:rPr>
        <w:t>.推荐</w:t>
      </w:r>
      <w:r>
        <w:rPr>
          <w:rFonts w:hAnsi="黑体" w:hint="eastAsia"/>
          <w:sz w:val="32"/>
          <w:szCs w:val="32"/>
          <w:lang w:val="en-US" w:eastAsia="zh-CN"/>
          <w:highlight w:val="none"/>
        </w:rPr>
        <w:t>委员会</w:t>
      </w:r>
      <w:r>
        <w:rPr>
          <w:rFonts w:cs="仿宋_GB2312" w:hAnsi="仿宋_GB2312" w:hint="eastAsia"/>
          <w:sz w:val="32"/>
          <w:szCs w:val="32"/>
          <w:lang w:val="en-US" w:eastAsia="zh-CN"/>
          <w:highlight w:val="none"/>
        </w:rPr>
        <w:t>评审专家应当具备下列条件：</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（1）具备良好的思想政治素质，政策观念强，坚持原则，作风正派，办事公道，能够认真履行职责；</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（2）熟悉和了解本专业理论研究现状和前沿技术，学术造诣深，专业技术水平高，在本专业技术领域有较高的知名度或影响力；</w:t>
      </w:r>
    </w:p>
    <w:p>
      <w:pPr>
        <w:pStyle w:val="15"/>
        <w:spacing w:line="600" w:lineRule="exact"/>
        <w:ind w:firstLineChars="200" w:firstLine="640"/>
        <w:outlineLvl w:val="9"/>
        <w:rPr>
          <w:rFonts w:hAnsi="黑体" w:hint="eastAsia"/>
          <w:sz w:val="32"/>
          <w:szCs w:val="32"/>
          <w:highlight w:val="none"/>
        </w:rPr>
      </w:pPr>
      <w:r>
        <w:rPr>
          <w:rFonts w:hAnsi="黑体" w:hint="eastAsia"/>
          <w:sz w:val="32"/>
          <w:szCs w:val="32"/>
          <w:highlight w:val="none"/>
        </w:rPr>
        <w:t>（3）大学本科以上学历；</w:t>
      </w:r>
    </w:p>
    <w:p>
      <w:pPr>
        <w:pStyle w:val="15"/>
        <w:spacing w:line="600" w:lineRule="exact"/>
        <w:ind w:firstLineChars="200" w:firstLine="640"/>
        <w:rPr>
          <w:rFonts w:hAnsi="黑体" w:hint="eastAsia"/>
          <w:sz w:val="32"/>
          <w:szCs w:val="32"/>
          <w:highlight w:val="none"/>
        </w:rPr>
      </w:pPr>
      <w:r>
        <w:rPr>
          <w:rFonts w:hAnsi="黑体" w:hint="eastAsia"/>
          <w:sz w:val="32"/>
          <w:szCs w:val="32"/>
          <w:highlight w:val="none"/>
        </w:rPr>
        <w:t>（4）具有高级</w:t>
      </w:r>
      <w:r>
        <w:rPr>
          <w:rFonts w:hAnsi="黑体" w:hint="eastAsia"/>
          <w:sz w:val="32"/>
          <w:szCs w:val="32"/>
          <w:lang w:eastAsia="zh-CN"/>
          <w:highlight w:val="none"/>
        </w:rPr>
        <w:t>职称</w:t>
      </w:r>
      <w:r>
        <w:rPr>
          <w:rFonts w:hAnsi="黑体"/>
          <w:sz w:val="32"/>
          <w:szCs w:val="32"/>
          <w:lang w:val="en-US"/>
          <w:highlight w:val="none"/>
        </w:rPr>
        <w:t>3</w:t>
      </w:r>
      <w:r>
        <w:rPr>
          <w:rFonts w:hAnsi="黑体" w:hint="eastAsia"/>
          <w:sz w:val="32"/>
          <w:szCs w:val="32"/>
          <w:highlight w:val="none"/>
        </w:rPr>
        <w:t>年及以上。</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cs="仿宋_GB2312" w:hAnsi="仿宋_GB2312" w:hint="eastAsia"/>
          <w:b/>
          <w:bCs/>
          <w:sz w:val="32"/>
          <w:szCs w:val="32"/>
          <w:lang w:val="en-US" w:eastAsia="zh-CN"/>
          <w:highlight w:val="none"/>
        </w:rPr>
        <w:t>第八条</w:t>
      </w:r>
      <w:r>
        <w:rPr>
          <w:rFonts w:cs="仿宋_GB2312" w:hAnsi="仿宋_GB2312" w:hint="eastAsia"/>
          <w:sz w:val="32"/>
          <w:szCs w:val="32"/>
          <w:lang w:val="en-US" w:eastAsia="zh-CN"/>
          <w:highlight w:val="none"/>
        </w:rPr>
        <w:t xml:space="preserve">  工程系列高级职称推荐委员会的组建</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cs="仿宋_GB2312" w:hAnsi="仿宋_GB2312" w:hint="eastAsia"/>
          <w:sz w:val="32"/>
          <w:szCs w:val="32"/>
          <w:lang w:val="en-US" w:eastAsia="zh-CN"/>
          <w:highlight w:val="none"/>
        </w:rPr>
        <w:t>1.工程系列高级职称推荐委员会专家不少于17人，设主任委员1人，副主任委员1-2人。其中：原则上，主任委员由学院分管领导或人事处主要负责人担任，委员由相关部门负责人和具有高级职称的业务专家组成。推荐委员会实行任期制，每届任期三年。</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cs="仿宋_GB2312" w:hAnsi="仿宋_GB2312" w:hint="eastAsia"/>
          <w:sz w:val="32"/>
          <w:szCs w:val="32"/>
          <w:lang w:val="en-US" w:eastAsia="zh-CN"/>
          <w:highlight w:val="none"/>
        </w:rPr>
        <w:t>2.评审专家应当具备下列条件：</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ascii="仿宋_GB2312" w:eastAsia="仿宋_GB2312" w:cs="仿宋_GB2312" w:hAnsi="仿宋_GB2312"/>
          <w:sz w:val="32"/>
          <w:szCs w:val="32"/>
          <w:lang w:val="en-US" w:eastAsia="zh-CN"/>
          <w:highlight w:val="none"/>
        </w:rPr>
        <w:t>（1）遵守宪法和法律；具有良好的思想政治素质，政策观念强，坚持原则，作风正派，办事公道，群众</w:t>
      </w:r>
      <w:r>
        <w:rPr>
          <w:rFonts w:cs="仿宋_GB2312" w:hAnsi="仿宋_GB2312" w:hint="eastAsia"/>
          <w:sz w:val="32"/>
          <w:szCs w:val="32"/>
          <w:lang w:val="en-US" w:eastAsia="zh-CN"/>
          <w:highlight w:val="none"/>
        </w:rPr>
        <w:t>认可</w:t>
      </w:r>
      <w:r>
        <w:rPr>
          <w:rFonts w:ascii="仿宋_GB2312" w:eastAsia="仿宋_GB2312" w:cs="仿宋_GB2312" w:hAnsi="仿宋_GB2312"/>
          <w:sz w:val="32"/>
          <w:szCs w:val="32"/>
          <w:lang w:val="en-US" w:eastAsia="zh-CN"/>
          <w:highlight w:val="none"/>
        </w:rPr>
        <w:t>。</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ascii="仿宋_GB2312" w:eastAsia="仿宋_GB2312" w:cs="仿宋_GB2312" w:hAnsi="仿宋_GB2312"/>
          <w:sz w:val="32"/>
          <w:szCs w:val="32"/>
          <w:lang w:val="en-US" w:eastAsia="zh-CN"/>
          <w:highlight w:val="none"/>
        </w:rPr>
        <w:t>（2）熟悉和了解本专业理论研究现状和前沿技术，学术造诣深，专业技术水平高，在本专业技术领域有较高的知名度或影响力。</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ascii="仿宋_GB2312" w:eastAsia="仿宋_GB2312" w:cs="仿宋_GB2312" w:hAnsi="仿宋_GB2312"/>
          <w:sz w:val="32"/>
          <w:szCs w:val="32"/>
          <w:lang w:val="en-US" w:eastAsia="zh-CN"/>
          <w:highlight w:val="none"/>
        </w:rPr>
        <w:t>（3）取得本系列高级职称3年及以上。</w:t>
      </w:r>
    </w:p>
    <w:p>
      <w:pPr>
        <w:pStyle w:val="15"/>
        <w:spacing w:line="600" w:lineRule="exact"/>
        <w:ind w:firstLineChars="200" w:firstLine="640"/>
        <w:rPr>
          <w:rFonts w:ascii="仿宋_GB2312" w:eastAsia="仿宋_GB2312" w:cs="仿宋_GB2312" w:hAnsi="仿宋_GB2312"/>
          <w:sz w:val="32"/>
          <w:szCs w:val="32"/>
          <w:lang w:val="en-US" w:eastAsia="zh-CN"/>
          <w:highlight w:val="none"/>
        </w:rPr>
      </w:pPr>
      <w:r>
        <w:rPr>
          <w:rFonts w:ascii="仿宋_GB2312" w:eastAsia="仿宋_GB2312" w:cs="仿宋_GB2312" w:hAnsi="仿宋_GB2312"/>
          <w:sz w:val="32"/>
          <w:szCs w:val="32"/>
          <w:lang w:val="en-US" w:eastAsia="zh-CN"/>
          <w:highlight w:val="none"/>
        </w:rPr>
        <w:t>（4）能够认真履行评委职责，自觉遵守评审工作纪律。</w:t>
      </w:r>
    </w:p>
    <w:p>
      <w:pPr>
        <w:pStyle w:val="15"/>
        <w:spacing w:line="600" w:lineRule="exact"/>
        <w:ind w:firstLineChars="200" w:firstLine="640"/>
        <w:rPr>
          <w:rFonts w:ascii="仿宋_GB2312" w:eastAsia="仿宋_GB2312"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3.学院组建的工程系列高级职称推荐委员会报</w:t>
      </w:r>
      <w:r>
        <w:rPr>
          <w:rFonts w:ascii="仿宋_GB2312" w:eastAsia="仿宋_GB2312" w:cs="仿宋_GB2312" w:hAnsi="仿宋_GB2312" w:hint="eastAsia"/>
          <w:sz w:val="32"/>
          <w:szCs w:val="32"/>
          <w:highlight w:val="none"/>
        </w:rPr>
        <w:t>集团公司人力资源部</w:t>
      </w:r>
      <w:r>
        <w:rPr>
          <w:rFonts w:ascii="仿宋_GB2312" w:eastAsia="仿宋_GB2312" w:cs="仿宋_GB2312" w:hAnsi="仿宋_GB2312" w:hint="eastAsia"/>
          <w:sz w:val="32"/>
          <w:szCs w:val="32"/>
          <w:lang w:val="en-US" w:eastAsia="zh-CN"/>
          <w:highlight w:val="none"/>
        </w:rPr>
        <w:t>备案</w:t>
      </w:r>
      <w:r>
        <w:rPr>
          <w:rFonts w:cs="仿宋_GB2312" w:hAnsi="仿宋_GB2312" w:hint="eastAsia"/>
          <w:sz w:val="32"/>
          <w:szCs w:val="32"/>
          <w:lang w:val="en-US" w:eastAsia="zh-CN"/>
          <w:highlight w:val="none"/>
        </w:rPr>
        <w:t>后组织实施。</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ascii="仿宋_GB2312" w:eastAsia="仿宋_GB2312" w:cs="仿宋_GB2312" w:hAnsi="仿宋_GB2312" w:hint="eastAsia"/>
          <w:b/>
          <w:bCs/>
          <w:sz w:val="32"/>
          <w:szCs w:val="32"/>
          <w:highlight w:val="none"/>
        </w:rPr>
        <w:t>第</w:t>
      </w:r>
      <w:r>
        <w:rPr>
          <w:rFonts w:cs="仿宋_GB2312" w:hAnsi="仿宋_GB2312" w:hint="eastAsia"/>
          <w:b/>
          <w:bCs/>
          <w:sz w:val="32"/>
          <w:szCs w:val="32"/>
          <w:lang w:val="en-US" w:eastAsia="zh-CN"/>
          <w:highlight w:val="none"/>
        </w:rPr>
        <w:t>九</w:t>
      </w:r>
      <w:r>
        <w:rPr>
          <w:rFonts w:ascii="仿宋_GB2312" w:eastAsia="仿宋_GB2312" w:cs="仿宋_GB2312" w:hAnsi="仿宋_GB2312" w:hint="eastAsia"/>
          <w:b/>
          <w:bCs/>
          <w:sz w:val="32"/>
          <w:szCs w:val="32"/>
          <w:highlight w:val="none"/>
        </w:rPr>
        <w:t>条</w:t>
      </w:r>
      <w:r>
        <w:rPr>
          <w:rFonts w:ascii="仿宋_GB2312" w:eastAsia="仿宋_GB2312" w:cs="仿宋_GB2312" w:hAnsi="仿宋_GB2312" w:hint="eastAsia"/>
          <w:sz w:val="32"/>
          <w:szCs w:val="32"/>
          <w:highlight w:val="none"/>
        </w:rPr>
        <w:t xml:space="preserve"> </w:t>
      </w:r>
      <w:r>
        <w:rPr>
          <w:rFonts w:cs="仿宋_GB2312" w:hAnsi="仿宋_GB2312" w:hint="eastAsia"/>
          <w:sz w:val="32"/>
          <w:szCs w:val="32"/>
          <w:lang w:val="en-US" w:eastAsia="zh-CN"/>
          <w:highlight w:val="none"/>
        </w:rPr>
        <w:t>评审委员会</w:t>
      </w:r>
      <w:r>
        <w:rPr>
          <w:rFonts w:ascii="仿宋_GB2312" w:eastAsia="仿宋_GB2312" w:cs="仿宋_GB2312" w:hAnsi="仿宋_GB2312" w:hint="eastAsia"/>
          <w:sz w:val="32"/>
          <w:szCs w:val="32"/>
          <w:highlight w:val="none"/>
        </w:rPr>
        <w:t>名单</w:t>
      </w:r>
      <w:r>
        <w:rPr>
          <w:rFonts w:cs="仿宋_GB2312" w:hAnsi="仿宋_GB2312" w:hint="eastAsia"/>
          <w:sz w:val="32"/>
          <w:szCs w:val="32"/>
          <w:lang w:val="en-US" w:eastAsia="zh-CN"/>
          <w:highlight w:val="none"/>
        </w:rPr>
        <w:t>和</w:t>
      </w:r>
      <w:r>
        <w:rPr>
          <w:rFonts w:ascii="仿宋_GB2312" w:eastAsia="仿宋_GB2312" w:cs="仿宋_GB2312" w:hAnsi="仿宋_GB2312" w:hint="eastAsia"/>
          <w:sz w:val="32"/>
          <w:szCs w:val="32"/>
          <w:highlight w:val="none"/>
        </w:rPr>
        <w:t>推荐委员会名单由学院</w:t>
      </w:r>
      <w:r>
        <w:rPr>
          <w:rFonts w:cs="仿宋_GB2312" w:hAnsi="仿宋_GB2312" w:hint="eastAsia"/>
          <w:sz w:val="32"/>
          <w:szCs w:val="32"/>
          <w:lang w:val="en-US" w:eastAsia="zh-CN"/>
          <w:highlight w:val="none"/>
        </w:rPr>
        <w:t>职称改革领导小组会议</w:t>
      </w:r>
      <w:r>
        <w:rPr>
          <w:rFonts w:ascii="仿宋_GB2312" w:eastAsia="仿宋_GB2312" w:cs="仿宋_GB2312" w:hAnsi="仿宋_GB2312" w:hint="eastAsia"/>
          <w:sz w:val="32"/>
          <w:szCs w:val="32"/>
          <w:highlight w:val="none"/>
        </w:rPr>
        <w:t>审定，不得对外公布。</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ascii="仿宋_GB2312" w:eastAsia="仿宋_GB2312" w:cs="仿宋_GB2312" w:hAnsi="仿宋_GB2312" w:hint="eastAsia"/>
          <w:b/>
          <w:bCs/>
          <w:sz w:val="32"/>
          <w:szCs w:val="32"/>
          <w:highlight w:val="none"/>
        </w:rPr>
        <w:t>第十条</w:t>
      </w:r>
      <w:r>
        <w:rPr>
          <w:rFonts w:ascii="仿宋_GB2312" w:eastAsia="仿宋_GB2312" w:cs="仿宋_GB2312" w:hAnsi="仿宋_GB2312" w:hint="eastAsia"/>
          <w:sz w:val="32"/>
          <w:szCs w:val="32"/>
          <w:highlight w:val="none"/>
        </w:rPr>
        <w:t xml:space="preserve"> 召开评审（推荐）会议时，到会</w:t>
      </w:r>
      <w:r>
        <w:rPr>
          <w:rFonts w:cs="仿宋_GB2312" w:hAnsi="仿宋_GB2312" w:hint="eastAsia"/>
          <w:sz w:val="32"/>
          <w:szCs w:val="32"/>
          <w:lang w:val="en-US" w:eastAsia="zh-CN"/>
          <w:highlight w:val="none"/>
        </w:rPr>
        <w:t>委员</w:t>
      </w:r>
      <w:r>
        <w:rPr>
          <w:rFonts w:ascii="仿宋_GB2312" w:eastAsia="仿宋_GB2312" w:cs="仿宋_GB2312" w:hAnsi="仿宋_GB2312" w:hint="eastAsia"/>
          <w:sz w:val="32"/>
          <w:szCs w:val="32"/>
          <w:highlight w:val="none"/>
        </w:rPr>
        <w:t>人数不得少于应到会人数的三分之二，未出席会议的委员不得代为投票或补充投票。</w:t>
      </w:r>
    </w:p>
    <w:p>
      <w:pPr>
        <w:pStyle w:val="15"/>
        <w:spacing w:line="600" w:lineRule="exact"/>
        <w:jc w:val="center"/>
        <w:outlineLvl w:val="0"/>
        <w:rPr>
          <w:rFonts w:ascii="Arial Narrow" w:eastAsia="黑体" w:hAnsi="Arial Narrow"/>
          <w:sz w:val="32"/>
          <w:szCs w:val="32"/>
          <w:lang w:val="en-US" w:eastAsia="zh-CN"/>
          <w:highlight w:val="none"/>
        </w:rPr>
      </w:pPr>
    </w:p>
    <w:p>
      <w:pPr>
        <w:pStyle w:val="15"/>
        <w:spacing w:line="600" w:lineRule="exact"/>
        <w:jc w:val="center"/>
        <w:outlineLvl w:val="0"/>
        <w:rPr>
          <w:rFonts w:ascii="Arial Narrow" w:eastAsia="黑体" w:hAnsi="Arial Narrow"/>
          <w:sz w:val="32"/>
          <w:szCs w:val="32"/>
          <w:lang w:val="en-US" w:eastAsia="zh-CN"/>
          <w:highlight w:val="none"/>
        </w:rPr>
      </w:pPr>
      <w:r>
        <w:rPr>
          <w:rFonts w:ascii="Arial Narrow" w:eastAsia="黑体" w:hAnsi="Arial Narrow" w:hint="eastAsia"/>
          <w:sz w:val="32"/>
          <w:szCs w:val="32"/>
          <w:lang w:val="en-US" w:eastAsia="zh-CN"/>
          <w:highlight w:val="none"/>
        </w:rPr>
        <w:t>第三章  工作程序和方法</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b/>
          <w:bCs/>
          <w:sz w:val="32"/>
          <w:szCs w:val="32"/>
          <w:lang w:val="en-US" w:eastAsia="zh-CN"/>
          <w:highlight w:val="none"/>
        </w:rPr>
        <w:t>第十一条</w:t>
      </w:r>
      <w:r>
        <w:rPr>
          <w:rFonts w:cs="仿宋_GB2312" w:hAnsi="仿宋_GB2312" w:hint="eastAsia"/>
          <w:sz w:val="32"/>
          <w:szCs w:val="32"/>
          <w:lang w:val="en-US" w:eastAsia="zh-CN"/>
          <w:highlight w:val="none"/>
        </w:rPr>
        <w:t xml:space="preserve">  教师系列（含教师系列学生思想政治教育专业）和工程系列高级职称推荐委员会由主任委员主持。评审工作方法步骤主要包括召开推荐预备会、组织答辩并量化打分、审阅材料并量化打分、综合评议、投票推荐等。</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1.召开推荐预备会。会议主要内容如下：宣布推荐委员会委员名单；汇报推荐会议准备情况（包括参评人数、资格审查、评审材料审核、会议议程和时间安排、会议所需材料准备等）；组织学习有关文件等。到会委员人数不得少于应到会人数的2/3。</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hint="eastAsia"/>
          <w:sz w:val="32"/>
          <w:szCs w:val="32"/>
          <w:lang w:val="en-US" w:eastAsia="zh-CN"/>
          <w:highlight w:val="none"/>
        </w:rPr>
        <w:t>2.组织答辩并量化打分。推荐委员会委员分组准备提问问题，采取现场个人述职、面试答辩等方式进行，并根据参评人员面试答辩情况量化打分，占参评人员综合评价分数的30%。答辩时间每人不少于10分钟，其中，本人述职3分钟，提问答辩7分钟，答辩顺序采取抽签决定。工程系列高级职称推荐委员会组织答辩，但不对答辩情况进行量化打分。</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hint="eastAsia"/>
          <w:sz w:val="32"/>
          <w:szCs w:val="32"/>
          <w:lang w:val="en-US" w:eastAsia="zh-CN"/>
          <w:highlight w:val="none"/>
        </w:rPr>
        <w:t>3.审阅材料并量化打分。推荐委员会委员审核和查阅申报人员的申报材料，并进行量化打分，作为推荐委员会综合评议的参考。其中，教师系列高级职称审阅材料并量化得分占参评人员综合评价分数的70%；工程系列高级职称审阅材料并量化得分占参评人员综合评价分数的100%。</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4.综合评议。推荐委员会对申报人员的研究能力和业绩贡献等情况进行综合评议。</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sz w:val="32"/>
          <w:szCs w:val="32"/>
          <w:lang w:val="en-US" w:eastAsia="zh-CN"/>
          <w:highlight w:val="none"/>
        </w:rPr>
        <w:t>5.投票推荐。推荐委员会采取无记名投票方式进行推荐，将职称推荐委员会投票推荐结果提交学院党委会集体研究决定。</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cs="仿宋_GB2312" w:hAnsi="仿宋_GB2312" w:hint="eastAsia"/>
          <w:b/>
          <w:bCs/>
          <w:sz w:val="32"/>
          <w:szCs w:val="32"/>
          <w:lang w:val="en-US" w:eastAsia="zh-CN"/>
          <w:highlight w:val="none"/>
        </w:rPr>
        <w:t>第十二条</w:t>
      </w:r>
      <w:r>
        <w:rPr>
          <w:rFonts w:cs="仿宋_GB2312" w:hAnsi="仿宋_GB2312" w:hint="eastAsia"/>
          <w:sz w:val="32"/>
          <w:szCs w:val="32"/>
          <w:lang w:val="en-US" w:eastAsia="zh-CN"/>
          <w:highlight w:val="none"/>
        </w:rPr>
        <w:t xml:space="preserve">  教师系列（含教师系列学生思想政治教育专业）高级职称评审委员会由主任委员主持。评审工作方法步骤主要包括召开预备会、审阅材料并量化打分、组织答辩并量化打分、综合评议、投票表决等步骤。</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ascii="仿宋_GB2312" w:eastAsia="仿宋_GB2312" w:cs="仿宋_GB2312" w:hAnsi="仿宋_GB2312" w:hint="eastAsia"/>
          <w:sz w:val="32"/>
          <w:szCs w:val="32"/>
          <w:highlight w:val="none"/>
        </w:rPr>
        <w:t>1.召开评审预备会。会议主要内容如下：宣布</w:t>
      </w:r>
      <w:r>
        <w:rPr>
          <w:rFonts w:cs="仿宋_GB2312" w:hAnsi="仿宋_GB2312" w:hint="eastAsia"/>
          <w:sz w:val="32"/>
          <w:szCs w:val="32"/>
          <w:lang w:val="en-US" w:eastAsia="zh-CN"/>
          <w:highlight w:val="none"/>
        </w:rPr>
        <w:t>评审委员会</w:t>
      </w:r>
      <w:r>
        <w:rPr>
          <w:rFonts w:ascii="仿宋_GB2312" w:eastAsia="仿宋_GB2312" w:cs="仿宋_GB2312" w:hAnsi="仿宋_GB2312" w:hint="eastAsia"/>
          <w:sz w:val="32"/>
          <w:szCs w:val="32"/>
          <w:highlight w:val="none"/>
        </w:rPr>
        <w:t>委员名单；汇报评审会议准备情况（包括参评人数、资格审查、评审材料审核、会议议程和时间安排、会议所需材料准备等）；组织学习有关文件等。到会委员人数不得少于应到会人数的2/3。</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ascii="仿宋_GB2312" w:eastAsia="仿宋_GB2312" w:cs="仿宋_GB2312" w:hAnsi="仿宋_GB2312" w:hint="eastAsia"/>
          <w:sz w:val="32"/>
          <w:szCs w:val="32"/>
          <w:highlight w:val="none"/>
        </w:rPr>
        <w:t>2.审阅材料并量化打分。</w:t>
      </w:r>
      <w:r>
        <w:rPr>
          <w:rFonts w:cs="仿宋_GB2312" w:hAnsi="仿宋_GB2312" w:hint="eastAsia"/>
          <w:sz w:val="32"/>
          <w:szCs w:val="32"/>
          <w:lang w:val="en-US" w:eastAsia="zh-CN"/>
          <w:highlight w:val="none"/>
        </w:rPr>
        <w:t>评审委员会</w:t>
      </w:r>
      <w:r>
        <w:rPr>
          <w:rFonts w:ascii="仿宋_GB2312" w:eastAsia="仿宋_GB2312" w:cs="仿宋_GB2312" w:hAnsi="仿宋_GB2312" w:hint="eastAsia"/>
          <w:sz w:val="32"/>
          <w:szCs w:val="32"/>
          <w:highlight w:val="none"/>
        </w:rPr>
        <w:t>委员审核和查阅申报人员的申报材料，并进行量化打分，占参评人员综合评价分数的70%。</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ascii="仿宋_GB2312" w:eastAsia="仿宋_GB2312" w:cs="仿宋_GB2312" w:hAnsi="仿宋_GB2312" w:hint="eastAsia"/>
          <w:sz w:val="32"/>
          <w:szCs w:val="32"/>
          <w:highlight w:val="none"/>
        </w:rPr>
        <w:t>3.组织答辩并量化打分。</w:t>
      </w:r>
      <w:r>
        <w:rPr>
          <w:rFonts w:cs="仿宋_GB2312" w:hAnsi="仿宋_GB2312" w:hint="eastAsia"/>
          <w:sz w:val="32"/>
          <w:szCs w:val="32"/>
          <w:lang w:val="en-US" w:eastAsia="zh-CN"/>
          <w:highlight w:val="none"/>
        </w:rPr>
        <w:t>评审委员会</w:t>
      </w:r>
      <w:r>
        <w:rPr>
          <w:rFonts w:ascii="仿宋_GB2312" w:eastAsia="仿宋_GB2312" w:cs="仿宋_GB2312" w:hAnsi="仿宋_GB2312" w:hint="eastAsia"/>
          <w:sz w:val="32"/>
          <w:szCs w:val="32"/>
          <w:highlight w:val="none"/>
        </w:rPr>
        <w:t>委员分组准备提问问题，采取现场个人述职、面试答辩等方式进行，并根据参评人员面试答辩情况量化打分，占参评人员综合评价分数的30%。</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cs="仿宋_GB2312" w:hAnsi="仿宋_GB2312" w:hint="eastAsia"/>
          <w:sz w:val="32"/>
          <w:szCs w:val="32"/>
          <w:lang w:val="en-US" w:eastAsia="zh-CN"/>
          <w:highlight w:val="none"/>
        </w:rPr>
        <w:t>4.</w:t>
      </w:r>
      <w:r>
        <w:rPr>
          <w:rFonts w:ascii="仿宋_GB2312" w:eastAsia="仿宋_GB2312" w:cs="仿宋_GB2312" w:hAnsi="仿宋_GB2312" w:hint="eastAsia"/>
          <w:sz w:val="32"/>
          <w:szCs w:val="32"/>
          <w:highlight w:val="none"/>
        </w:rPr>
        <w:t>综合评议。</w:t>
      </w:r>
      <w:r>
        <w:rPr>
          <w:rFonts w:cs="仿宋_GB2312" w:hAnsi="仿宋_GB2312" w:hint="eastAsia"/>
          <w:sz w:val="32"/>
          <w:szCs w:val="32"/>
          <w:lang w:val="en-US" w:eastAsia="zh-CN"/>
          <w:highlight w:val="none"/>
        </w:rPr>
        <w:t>评审委员会结合量化打分情况，</w:t>
      </w:r>
      <w:r>
        <w:rPr>
          <w:rFonts w:ascii="仿宋_GB2312" w:eastAsia="仿宋_GB2312" w:cs="仿宋_GB2312" w:hAnsi="仿宋_GB2312" w:hint="eastAsia"/>
          <w:sz w:val="32"/>
          <w:szCs w:val="32"/>
          <w:highlight w:val="none"/>
        </w:rPr>
        <w:t>对申报人员的研究能力和业绩贡献等情况进行综合评议。</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cs="仿宋_GB2312" w:hAnsi="仿宋_GB2312" w:hint="eastAsia"/>
          <w:sz w:val="32"/>
          <w:szCs w:val="32"/>
          <w:lang w:val="en-US" w:eastAsia="zh-CN"/>
          <w:highlight w:val="none"/>
        </w:rPr>
        <w:t>5</w:t>
      </w:r>
      <w:r>
        <w:rPr>
          <w:rFonts w:ascii="仿宋_GB2312" w:eastAsia="仿宋_GB2312" w:cs="仿宋_GB2312" w:hAnsi="仿宋_GB2312" w:hint="eastAsia"/>
          <w:sz w:val="32"/>
          <w:szCs w:val="32"/>
          <w:highlight w:val="none"/>
        </w:rPr>
        <w:t>.投票表决。采取无记名投票方式进行表决，按照评审通过</w:t>
      </w:r>
      <w:r>
        <w:rPr>
          <w:rFonts w:cs="仿宋_GB2312" w:hAnsi="仿宋_GB2312" w:hint="eastAsia"/>
          <w:sz w:val="32"/>
          <w:szCs w:val="32"/>
          <w:lang w:val="en-US" w:eastAsia="zh-CN"/>
          <w:highlight w:val="none"/>
        </w:rPr>
        <w:t>指标</w:t>
      </w:r>
      <w:r>
        <w:rPr>
          <w:rFonts w:ascii="仿宋_GB2312" w:eastAsia="仿宋_GB2312" w:cs="仿宋_GB2312" w:hAnsi="仿宋_GB2312" w:hint="eastAsia"/>
          <w:sz w:val="32"/>
          <w:szCs w:val="32"/>
          <w:highlight w:val="none"/>
        </w:rPr>
        <w:t>，得赞成票数超过到会委员人数的2/3为通过评审。未出席会议的委员不得代为投票或补充投票。</w:t>
      </w:r>
    </w:p>
    <w:p>
      <w:pPr>
        <w:pStyle w:val="15"/>
        <w:spacing w:line="600" w:lineRule="exact"/>
        <w:ind w:firstLineChars="200" w:firstLine="640"/>
        <w:rPr>
          <w:rFonts w:ascii="仿宋_GB2312" w:eastAsia="仿宋_GB2312" w:cs="仿宋_GB2312" w:hAnsi="仿宋_GB2312" w:hint="eastAsia"/>
          <w:sz w:val="32"/>
          <w:szCs w:val="32"/>
          <w:highlight w:val="none"/>
        </w:rPr>
      </w:pPr>
      <w:r>
        <w:rPr>
          <w:rFonts w:ascii="仿宋_GB2312" w:eastAsia="仿宋_GB2312" w:cs="仿宋_GB2312" w:hAnsi="仿宋_GB2312" w:hint="eastAsia"/>
          <w:sz w:val="32"/>
          <w:szCs w:val="32"/>
          <w:highlight w:val="none"/>
        </w:rPr>
        <w:t>评审表决票清点、检验和统计工作结束后，主任委员或者主持评审会议的副主任委员宣布投票结果，并签字确认。</w:t>
      </w:r>
    </w:p>
    <w:p>
      <w:pPr>
        <w:pStyle w:val="15"/>
        <w:spacing w:line="600" w:lineRule="exact"/>
        <w:ind w:firstLineChars="200" w:firstLine="640"/>
        <w:rPr>
          <w:rFonts w:cs="仿宋_GB2312" w:hAnsi="仿宋_GB2312" w:hint="eastAsia"/>
          <w:sz w:val="32"/>
          <w:szCs w:val="32"/>
          <w:lang w:val="en-US" w:eastAsia="zh-CN"/>
          <w:highlight w:val="none"/>
        </w:rPr>
      </w:pPr>
      <w:r>
        <w:rPr>
          <w:rFonts w:cs="仿宋_GB2312" w:hAnsi="仿宋_GB2312" w:hint="eastAsia"/>
          <w:b/>
          <w:bCs/>
          <w:sz w:val="32"/>
          <w:szCs w:val="32"/>
          <w:lang w:val="en-US" w:eastAsia="zh-CN"/>
          <w:highlight w:val="none"/>
        </w:rPr>
        <w:t>第十三条</w:t>
      </w:r>
      <w:r>
        <w:rPr>
          <w:rFonts w:cs="仿宋_GB2312" w:hAnsi="仿宋_GB2312" w:hint="eastAsia"/>
          <w:sz w:val="32"/>
          <w:szCs w:val="32"/>
          <w:lang w:val="en-US" w:eastAsia="zh-CN"/>
          <w:highlight w:val="none"/>
        </w:rPr>
        <w:t xml:space="preserve">  中级职称评审委员会的工作程序和方法参照第十二条执行，无需组织答辩。</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第十</w:t>
      </w:r>
      <w:r>
        <w:rPr>
          <w:rFonts w:cs="仿宋_GB2312" w:hAnsi="仿宋_GB2312" w:hint="eastAsia"/>
          <w:b/>
          <w:bCs/>
          <w:sz w:val="32"/>
          <w:szCs w:val="32"/>
          <w:lang w:val="en-US" w:eastAsia="zh-CN"/>
          <w:highlight w:val="none"/>
        </w:rPr>
        <w:t>四</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会议应做好会议记录，经主持人及记录人签名确认后归档。会议记录主要包括：评审日期、出席评委、评审对象、评审意见、投票结果等。</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第十</w:t>
      </w:r>
      <w:r>
        <w:rPr>
          <w:rFonts w:cs="仿宋_GB2312" w:hAnsi="仿宋_GB2312" w:hint="eastAsia"/>
          <w:b/>
          <w:bCs/>
          <w:sz w:val="32"/>
          <w:szCs w:val="32"/>
          <w:lang w:val="en-US" w:eastAsia="zh-CN"/>
          <w:highlight w:val="none"/>
        </w:rPr>
        <w:t>五</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w:t>
      </w:r>
      <w:r>
        <w:rPr>
          <w:rFonts w:cs="仿宋_GB2312" w:hAnsi="仿宋_GB2312" w:hint="eastAsia"/>
          <w:sz w:val="32"/>
          <w:szCs w:val="32"/>
          <w:lang w:val="en-US" w:eastAsia="zh-CN"/>
          <w:highlight w:val="none"/>
        </w:rPr>
        <w:t>人事处</w:t>
      </w:r>
      <w:r>
        <w:rPr>
          <w:rFonts w:cs="仿宋_GB2312" w:hAnsi="仿宋_GB2312"/>
          <w:sz w:val="32"/>
          <w:szCs w:val="32"/>
          <w:lang w:val="en-US" w:eastAsia="zh-CN"/>
          <w:highlight w:val="none"/>
        </w:rPr>
        <w:t>要及时将会议有关资料进行整理，同时做好申报材料的清点、归档和退档工作。</w:t>
      </w:r>
    </w:p>
    <w:p>
      <w:pPr>
        <w:pStyle w:val="15"/>
        <w:spacing w:line="600" w:lineRule="exact"/>
        <w:jc w:val="center"/>
        <w:outlineLvl w:val="0"/>
        <w:rPr>
          <w:rFonts w:ascii="Arial Narrow" w:eastAsia="黑体" w:hAnsi="Arial Narrow"/>
          <w:sz w:val="32"/>
          <w:szCs w:val="32"/>
          <w:lang w:val="en-US" w:eastAsia="zh-CN"/>
          <w:highlight w:val="none"/>
        </w:rPr>
      </w:pPr>
    </w:p>
    <w:p>
      <w:pPr>
        <w:pStyle w:val="15"/>
        <w:spacing w:line="600" w:lineRule="exact"/>
        <w:jc w:val="center"/>
        <w:outlineLvl w:val="0"/>
        <w:rPr>
          <w:rFonts w:ascii="Arial Narrow" w:eastAsia="黑体" w:hAnsi="Arial Narrow"/>
          <w:sz w:val="32"/>
          <w:szCs w:val="32"/>
          <w:lang w:val="en-US" w:eastAsia="zh-CN"/>
          <w:highlight w:val="none"/>
        </w:rPr>
      </w:pPr>
      <w:r>
        <w:rPr>
          <w:rFonts w:ascii="Arial Narrow" w:eastAsia="黑体" w:hAnsi="Arial Narrow" w:hint="eastAsia"/>
          <w:sz w:val="32"/>
          <w:szCs w:val="32"/>
          <w:lang w:val="en-US" w:eastAsia="zh-CN"/>
          <w:highlight w:val="none"/>
        </w:rPr>
        <w:t>第四章  工作纪律</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第十</w:t>
      </w:r>
      <w:r>
        <w:rPr>
          <w:rFonts w:cs="仿宋_GB2312" w:hAnsi="仿宋_GB2312" w:hint="eastAsia"/>
          <w:b/>
          <w:bCs/>
          <w:sz w:val="32"/>
          <w:szCs w:val="32"/>
          <w:lang w:val="en-US" w:eastAsia="zh-CN"/>
          <w:highlight w:val="none"/>
        </w:rPr>
        <w:t>六</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w:t>
      </w:r>
      <w:r>
        <w:rPr>
          <w:rFonts w:cs="仿宋_GB2312" w:hAnsi="仿宋_GB2312" w:hint="eastAsia"/>
          <w:sz w:val="32"/>
          <w:szCs w:val="32"/>
          <w:highlight w:val="none"/>
        </w:rPr>
        <w:t>职称推荐评审委员会</w:t>
      </w:r>
      <w:r>
        <w:rPr>
          <w:rFonts w:cs="仿宋_GB2312" w:hAnsi="仿宋_GB2312"/>
          <w:sz w:val="32"/>
          <w:szCs w:val="32"/>
          <w:lang w:val="en-US" w:eastAsia="zh-CN"/>
          <w:highlight w:val="none"/>
        </w:rPr>
        <w:t>要严格遵循“科学、客观、公正、准确”的原则，严格掌握标准条件，严格履行评审程序，保障职称评审质量。</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第十</w:t>
      </w:r>
      <w:r>
        <w:rPr>
          <w:rFonts w:cs="仿宋_GB2312" w:hAnsi="仿宋_GB2312" w:hint="eastAsia"/>
          <w:b/>
          <w:bCs/>
          <w:sz w:val="32"/>
          <w:szCs w:val="32"/>
          <w:lang w:val="en-US" w:eastAsia="zh-CN"/>
          <w:highlight w:val="none"/>
        </w:rPr>
        <w:t>七</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评审会议</w:t>
      </w:r>
      <w:r>
        <w:rPr>
          <w:rFonts w:cs="仿宋_GB2312" w:hAnsi="仿宋_GB2312" w:hint="eastAsia"/>
          <w:sz w:val="32"/>
          <w:szCs w:val="32"/>
          <w:lang w:val="en-US" w:eastAsia="zh-CN"/>
          <w:highlight w:val="none"/>
        </w:rPr>
        <w:t>或推荐会议</w:t>
      </w:r>
      <w:r>
        <w:rPr>
          <w:rFonts w:cs="仿宋_GB2312" w:hAnsi="仿宋_GB2312"/>
          <w:sz w:val="32"/>
          <w:szCs w:val="32"/>
          <w:lang w:val="en-US" w:eastAsia="zh-CN"/>
          <w:highlight w:val="none"/>
        </w:rPr>
        <w:t>实行封闭管理，评审专家名单不对外公布，评审专家和相关工作人员在评审工作保密期内，不得向外泄露评审内容，不得私自接受评审材料，不得利用职务之便谋取不正当利益。</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第十</w:t>
      </w:r>
      <w:r>
        <w:rPr>
          <w:rFonts w:cs="仿宋_GB2312" w:hAnsi="仿宋_GB2312" w:hint="eastAsia"/>
          <w:b/>
          <w:bCs/>
          <w:sz w:val="32"/>
          <w:szCs w:val="32"/>
          <w:lang w:val="en-US" w:eastAsia="zh-CN"/>
          <w:highlight w:val="none"/>
        </w:rPr>
        <w:t>八</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职称评审</w:t>
      </w:r>
      <w:r>
        <w:rPr>
          <w:rFonts w:cs="仿宋_GB2312" w:hAnsi="仿宋_GB2312" w:hint="eastAsia"/>
          <w:sz w:val="32"/>
          <w:szCs w:val="32"/>
          <w:lang w:val="en-US" w:eastAsia="zh-CN"/>
          <w:highlight w:val="none"/>
        </w:rPr>
        <w:t>或推荐</w:t>
      </w:r>
      <w:r>
        <w:rPr>
          <w:rFonts w:cs="仿宋_GB2312" w:hAnsi="仿宋_GB2312"/>
          <w:sz w:val="32"/>
          <w:szCs w:val="32"/>
          <w:lang w:val="en-US" w:eastAsia="zh-CN"/>
          <w:highlight w:val="none"/>
        </w:rPr>
        <w:t>实行回避制度，评审专家及工作人员有近亲属或直接利害关系人参加职称评审时，应当申请回避。</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第十</w:t>
      </w:r>
      <w:r>
        <w:rPr>
          <w:rFonts w:cs="仿宋_GB2312" w:hAnsi="仿宋_GB2312" w:hint="eastAsia"/>
          <w:b/>
          <w:bCs/>
          <w:sz w:val="32"/>
          <w:szCs w:val="32"/>
          <w:lang w:val="en-US" w:eastAsia="zh-CN"/>
          <w:highlight w:val="none"/>
        </w:rPr>
        <w:t>九</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评审专家违反本规定第十</w:t>
      </w:r>
      <w:r>
        <w:rPr>
          <w:rFonts w:cs="仿宋_GB2312" w:hAnsi="仿宋_GB2312" w:hint="eastAsia"/>
          <w:sz w:val="32"/>
          <w:szCs w:val="32"/>
          <w:lang w:val="en-US" w:eastAsia="zh-CN"/>
          <w:highlight w:val="none"/>
        </w:rPr>
        <w:t>六</w:t>
      </w:r>
      <w:r>
        <w:rPr>
          <w:rFonts w:cs="仿宋_GB2312" w:hAnsi="仿宋_GB2312"/>
          <w:sz w:val="32"/>
          <w:szCs w:val="32"/>
          <w:lang w:val="en-US" w:eastAsia="zh-CN"/>
          <w:highlight w:val="none"/>
        </w:rPr>
        <w:t>条、第十</w:t>
      </w:r>
      <w:r>
        <w:rPr>
          <w:rFonts w:cs="仿宋_GB2312" w:hAnsi="仿宋_GB2312" w:hint="eastAsia"/>
          <w:sz w:val="32"/>
          <w:szCs w:val="32"/>
          <w:lang w:val="en-US" w:eastAsia="zh-CN"/>
          <w:highlight w:val="none"/>
        </w:rPr>
        <w:t>七</w:t>
      </w:r>
      <w:r>
        <w:rPr>
          <w:rFonts w:cs="仿宋_GB2312" w:hAnsi="仿宋_GB2312"/>
          <w:sz w:val="32"/>
          <w:szCs w:val="32"/>
          <w:lang w:val="en-US" w:eastAsia="zh-CN"/>
          <w:highlight w:val="none"/>
        </w:rPr>
        <w:t>条规定的，取消评审专家资格，通报批评并记入职称评审诚信档案库；构成犯罪的，依法追究刑事责任。</w:t>
      </w:r>
    </w:p>
    <w:p>
      <w:pPr>
        <w:pStyle w:val="15"/>
        <w:spacing w:line="600" w:lineRule="exact"/>
        <w:ind w:firstLineChars="200" w:firstLine="640"/>
        <w:rPr>
          <w:rFonts w:cs="仿宋_GB2312" w:hAnsi="仿宋_GB2312"/>
          <w:sz w:val="32"/>
          <w:szCs w:val="32"/>
          <w:lang w:val="en-US" w:eastAsia="zh-CN"/>
          <w:highlight w:val="none"/>
        </w:rPr>
      </w:pPr>
      <w:r>
        <w:rPr>
          <w:rFonts w:cs="仿宋_GB2312" w:hAnsi="仿宋_GB2312"/>
          <w:b/>
          <w:bCs/>
          <w:sz w:val="32"/>
          <w:szCs w:val="32"/>
          <w:lang w:val="en-US" w:eastAsia="zh-CN"/>
          <w:highlight w:val="none"/>
        </w:rPr>
        <w:t>第</w:t>
      </w:r>
      <w:r>
        <w:rPr>
          <w:rFonts w:cs="仿宋_GB2312" w:hAnsi="仿宋_GB2312" w:hint="eastAsia"/>
          <w:b/>
          <w:bCs/>
          <w:sz w:val="32"/>
          <w:szCs w:val="32"/>
          <w:lang w:val="en-US" w:eastAsia="zh-CN"/>
          <w:highlight w:val="none"/>
        </w:rPr>
        <w:t>二十</w:t>
      </w:r>
      <w:r>
        <w:rPr>
          <w:rFonts w:cs="仿宋_GB2312" w:hAnsi="仿宋_GB2312"/>
          <w:b/>
          <w:bCs/>
          <w:sz w:val="32"/>
          <w:szCs w:val="32"/>
          <w:lang w:val="en-US" w:eastAsia="zh-CN"/>
          <w:highlight w:val="none"/>
        </w:rPr>
        <w:t>条</w:t>
      </w:r>
      <w:r>
        <w:rPr>
          <w:rFonts w:cs="仿宋_GB2312" w:hAnsi="仿宋_GB2312"/>
          <w:sz w:val="32"/>
          <w:szCs w:val="32"/>
          <w:lang w:val="en-US" w:eastAsia="zh-CN"/>
          <w:highlight w:val="none"/>
        </w:rPr>
        <w:t xml:space="preserve">  </w:t>
      </w:r>
      <w:r>
        <w:rPr>
          <w:rFonts w:cs="仿宋_GB2312" w:hAnsi="仿宋_GB2312" w:hint="eastAsia"/>
          <w:sz w:val="32"/>
          <w:szCs w:val="32"/>
          <w:lang w:val="en-US" w:eastAsia="zh-CN"/>
          <w:highlight w:val="none"/>
        </w:rPr>
        <w:t>人事处</w:t>
      </w:r>
      <w:r>
        <w:rPr>
          <w:rFonts w:cs="仿宋_GB2312" w:hAnsi="仿宋_GB2312"/>
          <w:sz w:val="32"/>
          <w:szCs w:val="32"/>
          <w:lang w:val="en-US" w:eastAsia="zh-CN"/>
          <w:highlight w:val="none"/>
        </w:rPr>
        <w:t>要加强对</w:t>
      </w:r>
      <w:r>
        <w:rPr>
          <w:rFonts w:cs="仿宋_GB2312" w:hAnsi="仿宋_GB2312" w:hint="eastAsia"/>
          <w:sz w:val="32"/>
          <w:szCs w:val="32"/>
          <w:lang w:val="en-US" w:eastAsia="zh-CN"/>
          <w:highlight w:val="none"/>
        </w:rPr>
        <w:t>职称推荐评审委员会</w:t>
      </w:r>
      <w:r>
        <w:rPr>
          <w:rFonts w:cs="仿宋_GB2312" w:hAnsi="仿宋_GB2312"/>
          <w:sz w:val="32"/>
          <w:szCs w:val="32"/>
          <w:lang w:val="en-US" w:eastAsia="zh-CN"/>
          <w:highlight w:val="none"/>
        </w:rPr>
        <w:t>工作的指导和监督，对核实有违反评审程序或评审纪律的，视情节给予通报批评、调整评委、停止评审、宣布评审结果无效等处理。</w:t>
      </w:r>
    </w:p>
    <w:p>
      <w:pPr>
        <w:pStyle w:val="15"/>
        <w:spacing w:line="600" w:lineRule="exact"/>
        <w:jc w:val="center"/>
        <w:outlineLvl w:val="0"/>
        <w:rPr>
          <w:rFonts w:ascii="Arial Narrow" w:eastAsia="黑体" w:hAnsi="Arial Narrow"/>
          <w:sz w:val="32"/>
          <w:szCs w:val="32"/>
          <w:lang w:val="en-US" w:eastAsia="zh-CN"/>
          <w:highlight w:val="none"/>
        </w:rPr>
      </w:pPr>
    </w:p>
    <w:p>
      <w:pPr>
        <w:pStyle w:val="15"/>
        <w:spacing w:line="600" w:lineRule="exact"/>
        <w:jc w:val="center"/>
        <w:outlineLvl w:val="0"/>
        <w:rPr>
          <w:rFonts w:ascii="Arial Narrow" w:eastAsia="黑体" w:hAnsi="Arial Narrow" w:hint="eastAsia"/>
          <w:sz w:val="32"/>
          <w:szCs w:val="32"/>
          <w:lang w:val="en-US" w:eastAsia="zh-CN"/>
          <w:highlight w:val="none"/>
        </w:rPr>
      </w:pPr>
      <w:r>
        <w:rPr>
          <w:rFonts w:ascii="Arial Narrow" w:eastAsia="黑体" w:hAnsi="Arial Narrow" w:hint="eastAsia"/>
          <w:sz w:val="32"/>
          <w:szCs w:val="32"/>
          <w:lang w:val="en-US" w:eastAsia="zh-CN"/>
          <w:highlight w:val="none"/>
        </w:rPr>
        <w:t>第五章  附  则</w:t>
      </w:r>
    </w:p>
    <w:p>
      <w:pPr>
        <w:pStyle w:val="15"/>
        <w:spacing w:line="600" w:lineRule="exact"/>
        <w:ind w:firstLineChars="200" w:firstLine="640"/>
        <w:rPr>
          <w:highlight w:val="none"/>
        </w:rPr>
      </w:pPr>
      <w:r>
        <w:rPr>
          <w:rFonts w:cs="仿宋_GB2312" w:hAnsi="仿宋_GB2312"/>
          <w:b/>
          <w:bCs/>
          <w:sz w:val="32"/>
          <w:szCs w:val="32"/>
          <w:lang w:val="en-US" w:eastAsia="zh-CN"/>
          <w:highlight w:val="none"/>
        </w:rPr>
        <w:t>第</w:t>
      </w:r>
      <w:r>
        <w:rPr>
          <w:rFonts w:cs="仿宋_GB2312" w:hAnsi="仿宋_GB2312" w:hint="eastAsia"/>
          <w:b/>
          <w:bCs/>
          <w:sz w:val="32"/>
          <w:szCs w:val="32"/>
          <w:lang w:val="en-US" w:eastAsia="zh-CN"/>
          <w:highlight w:val="none"/>
        </w:rPr>
        <w:t>二十一</w:t>
      </w:r>
      <w:r>
        <w:rPr>
          <w:rFonts w:cs="仿宋_GB2312" w:hAnsi="仿宋_GB2312"/>
          <w:b/>
          <w:bCs/>
          <w:sz w:val="32"/>
          <w:szCs w:val="32"/>
          <w:lang w:val="en-US" w:eastAsia="zh-CN"/>
          <w:highlight w:val="none"/>
        </w:rPr>
        <w:t>条</w:t>
      </w:r>
      <w:r>
        <w:rPr>
          <w:rFonts w:cs="仿宋_GB2312" w:hAnsi="仿宋_GB2312" w:hint="eastAsia"/>
          <w:sz w:val="32"/>
          <w:szCs w:val="32"/>
          <w:lang w:val="en-US" w:eastAsia="zh-CN"/>
          <w:highlight w:val="none"/>
        </w:rPr>
        <w:t xml:space="preserve"> </w:t>
      </w:r>
      <w:r>
        <w:rPr>
          <w:rFonts w:cs="仿宋_GB2312" w:hAnsi="仿宋_GB2312"/>
          <w:sz w:val="32"/>
          <w:szCs w:val="32"/>
          <w:lang w:val="en-US" w:eastAsia="zh-CN"/>
          <w:highlight w:val="none"/>
        </w:rPr>
        <w:t xml:space="preserve"> 本规定由</w:t>
      </w:r>
      <w:r>
        <w:rPr>
          <w:rFonts w:cs="仿宋_GB2312" w:hAnsi="仿宋_GB2312" w:hint="eastAsia"/>
          <w:sz w:val="32"/>
          <w:szCs w:val="32"/>
          <w:lang w:val="en-US" w:eastAsia="zh-CN"/>
          <w:highlight w:val="none"/>
        </w:rPr>
        <w:t>人事处</w:t>
      </w:r>
      <w:r>
        <w:rPr>
          <w:rFonts w:cs="仿宋_GB2312" w:hAnsi="仿宋_GB2312"/>
          <w:sz w:val="32"/>
          <w:szCs w:val="32"/>
          <w:lang w:val="en-US" w:eastAsia="zh-CN"/>
          <w:highlight w:val="none"/>
        </w:rPr>
        <w:t>负责解释，自印发之日起执行。</w:t>
      </w:r>
    </w:p>
    <w:sectPr>
      <w:footerReference w:type="default" r:id="rId2"/>
      <w:pgSz w:w="11906" w:h="16838"/>
      <w:pgMar w:top="1417" w:right="1474" w:bottom="1417" w:left="1474" w:header="851" w:footer="992" w:gutter="0"/>
      <w:cols w:num="1" w:space="425"/>
      <w:docGrid w:type="lines" w:linePitch="312" w:charSpace="0"/>
    </w:sectPr>
  </w:body>
</w:document>
</file>

<file path=word/fontTable.xml><?xml version="1.0" encoding="utf-8"?>
<w:fonts xmlns:w="http://schemas.openxmlformats.org/wordprocessingml/2006/main" xmlns:r="http://schemas.openxmlformats.org/officeDocument/2006/relationships">
  <w:font w:name="方正小标宋_GBK">
    <w:panose1 w:val="02000000000000000000"/>
    <w:charset w:val="86"/>
    <w:family w:val="auto"/>
    <w:pitch w:val="variable"/>
    <w:sig w:usb0="A00002BF" w:usb1="38CF7CFA" w:usb2="00082016" w:usb3="00000000" w:csb0="00040001" w:csb1="00000000"/>
  </w:font>
  <w:font w:name="Arial Narrow">
    <w:panose1 w:val="020B0606020202030204"/>
    <w:charset w:val="00"/>
    <w:family w:val="swiss"/>
    <w:pitch w:val="variable"/>
    <w:sig w:usb0="00000287" w:usb1="00000800" w:usb2="00000000" w:usb3="00000000" w:csb0="2000009F" w:csb1="DFD70000"/>
  </w:font>
  <w:font w:name="黑体">
    <w:panose1 w:val="02010609060101010101"/>
    <w:charset w:val="86"/>
    <w:family w:val="auto"/>
    <w:pitch w:val="variable"/>
    <w:sig w:usb0="800002BF" w:usb1="38CF7CFA" w:usb2="00000016" w:usb3="00000000" w:csb0="00040001" w:csb1="00000000"/>
  </w:font>
  <w:font w:name="仿宋_GB2312">
    <w:panose1 w:val="02010609030101010101"/>
    <w:charset w:val="86"/>
    <w:family w:val="swiss"/>
    <w:pitch w:val="variable"/>
    <w:sig w:usb0="00000001" w:usb1="080E0000" w:usb2="00000000" w:usb3="00000000" w:csb0="00040000" w:csb1="00000000"/>
  </w:font>
  <w:font w:name="Times New Roman">
    <w:panose1 w:val="02020603050405020304"/>
    <w:charset w:val="86"/>
    <w:family w:val="auto"/>
    <w:pitch w:val="variable"/>
    <w:sig w:usb0="E0002EFF" w:usb1="C000785B" w:usb2="00000009" w:usb3="00000000" w:csb0="400001FF" w:csb1="FFFF0000"/>
  </w:font>
  <w:font w:name="宋体">
    <w:panose1 w:val="02010600030101010101"/>
    <w:charset w:val="50"/>
    <w:family w:val="auto"/>
    <w:pitch w:val="variable"/>
    <w:sig w:usb0="00000203" w:usb1="288F0000" w:usb2="00000006" w:usb3="00000000" w:csb0="00040001" w:csb1="00000000"/>
  </w:font>
  <w:font w:name="Lucida Sans">
    <w:altName w:val="Lucida Sans Unicode"/>
    <w:panose1 w:val="020B0602030504020204"/>
    <w:charset w:val="00"/>
    <w:family w:val="auto"/>
    <w:pitch w:val="variable"/>
    <w:sig w:usb0="00000000" w:usb1="00000000" w:usb2="00000000" w:usb3="00000000" w:csb0="20000001"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wp14="http://schemas.microsoft.com/office/word/2010/wordprocessingDrawing"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p>
    <w:pPr>
      <w:pStyle w:val="18"/>
      <w:tabs>
        <w:tab w:val="center" w:pos="4153"/>
        <w:tab w:val="right" w:pos="8306"/>
      </w:tabs>
    </w:pPr>
    <w:r>
      <w:rPr>
        <w:sz w:val="18"/>
      </w:rPr>
      <mc:AlternateContent>
        <mc:Choice Requires="wps">
          <w:drawing>
            <wp:anchor distT="0" distB="0" distL="114300" distR="114300" simplePos="0" relativeHeight="12" behindDoc="0" locked="0" layoutInCell="1" hidden="0" allowOverlap="1">
              <wp:simplePos x="0" y="0"/>
              <wp:positionH relativeFrom="margin">
                <wp:align>center</wp:align>
              </wp:positionH>
              <wp:positionV relativeFrom="paragraph">
                <wp:posOffset>0</wp:posOffset>
              </wp:positionV>
              <wp:extent cx="76200" cy="131433"/>
              <wp:wrapNone/>
              <wp:docPr id="1" name="文本框 1"/>
              <wp:cNvGraphicFramePr>
                <a:graphicFrameLocks noChangeAspect="0"/>
              </wp:cNvGraphicFramePr>
              <a:graphic>
                <a:graphicData uri="http://schemas.microsoft.com/office/word/2010/wordprocessingShape">
                  <wps:wsp>
                    <wps:cNvSpPr/>
                    <wps:spPr>
                      <a:xfrm rot="0">
                        <a:off x="0" y="0"/>
                        <a:ext cx="76200" cy="131433"/>
                      </a:xfrm>
                      <a:prstGeom prst="rect"/>
                      <a:noFill/>
                      <a:ln w="6350" cmpd="sng" cap="flat">
                        <a:noFill/>
                        <a:prstDash val="solid"/>
                        <a:round/>
                      </a:ln>
                    </wps:spPr>
                    <wps:txbx id="1">
                      <w:txbxContent>
                        <w:p>
                          <w:pPr>
                            <w:pStyle w:val="18"/>
                            <w:tabs>
                              <w:tab w:val="center" w:pos="4153"/>
                              <w:tab w:val="right" w:pos="8306"/>
                            </w:tabs>
                          </w:pPr>
                          <w:r>
                            <w:fldChar w:fldCharType="begin"/>
                          </w:r>
                          <w:r>
                            <w:instrText xml:space="preserve"> PAGE  \* MERGEFORMAT </w:instrText>
                          </w:r>
                          <w:r>
                            <w:fldChar w:fldCharType="separate"/>
                          </w:r>
                          <w:r>
                            <w:t>1</w:t>
                          </w:r>
                          <w:r>
                            <w:fldChar w:fldCharType="end"/>
                          </w:r>
                        </w:p>
                      </w:txbxContent>
                    </wps:txbx>
                    <wps:bodyPr vert="horz" wrap="none" lIns="0" tIns="0" rIns="0" bIns="0" anchor="t" anchorCtr="0" upright="0">
                      <a:spAutoFit/>
                    </wps:bodyPr>
                  </wps:wsp>
                </a:graphicData>
              </a:graphic>
            </wp:anchor>
          </w:drawing>
        </mc:Choice>
        <mc:Fallback>
          <w:pict>
            <v:rect type="#_x0000_t1" id="文本框 1" o:spid="_x0000_s2" filled="f" stroked="f" strokeweight="0.5pt" style="position:absolute;margin-left:0.0pt;margin-top:0.0pt;width:6.0pt;height:10.349055pt;z-index:12;mso-position-horizontal:center;mso-position-horizontal-relative:margin;mso-position-vertical:absolute;mso-wrap-style:none;">
              <v:stroke/>
              <v:textbox id="848" inset="0mm,0mm,0mm,0mm" o:insetmode="custom" style="layout-flow:horizontal;v-text-anchor:top;mso-fit-shape-to-text:t;">
                <w:txbxContent>
                  <w:p>
                    <w:pPr>
                      <w:pStyle w:val="18"/>
                      <w:tabs>
                        <w:tab w:val="center" w:pos="4153"/>
                        <w:tab w:val="right" w:pos="8306"/>
                      </w:tabs>
                    </w:pPr>
                    <w:r>
                      <w:fldChar w:fldCharType="begin"/>
                    </w:r>
                    <w:r>
                      <w:instrText xml:space="preserve"> PAGE  \* MERGEFORMAT </w:instrText>
                    </w:r>
                    <w:r>
                      <w:fldChar w:fldCharType="separate"/>
                    </w:r>
                    <w:r>
                      <w:t>1</w:t>
                    </w:r>
                    <w:r>
                      <w:fldChar w:fldCharType="end"/>
                    </w:r>
                  </w:p>
                </w:txbxContent>
              </v:textbox>
            </v:rect>
          </w:pict>
        </mc:Fallback>
      </mc:AlternateContent>
    </w:r>
  </w:p>
</w:ftr>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10"/>
  <w:doNotDisplayPageBoundaries/>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compatSetting w:name="compatibilityMode" w:uri="http://schemas.microsoft.com/office/word" w:val="14"/>
  </w:compat>
  <w:docVars>
    <w:docVar w:name="commondata" w:val="eyJoZGlkIjoiYjgxNzUzYzk0MjFkYjc2NjM0Yjc5ZDAzMGNjZjVlYmYifQ=="/>
  </w:docVars>
  <m:mathPr>
    <m:mathFont m:val="Cambria Math"/>
    <m:brkBin m:val="before"/>
    <m:brkBinSub m:val="--"/>
    <m:smallFrac m:val="0"/>
    <m:dispDef/>
    <m:lMargin m:val="0"/>
    <m:rMargin m:val="0"/>
    <m:defJc m:val="centerGroup"/>
    <m:wrapIndent m:val="1440"/>
    <m:intLim m:val="subSup"/>
    <m:naryLim m:val="undOvr"/>
  </m:mathPr>
  <w:doNotIncludeSubdocsInStats/>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Lucida Sans"/>
        <w:lang w:val="en-US" w:eastAsia="zh-CN" w:bidi="ar-SA"/>
      </w:rPr>
    </w:rPrDefault>
    <w:pPrDefault/>
  </w:docDefaults>
  <w:style w:type="paragraph" w:default="1" w:styleId="0">
    <w:name w:val="Normal"/>
    <w:qFormat/>
    <w:autoRedefine/>
    <w:pPr>
      <w:widowControl w:val="0"/>
      <w:jc w:val="both"/>
    </w:pPr>
    <w:rPr>
      <w:rFonts w:ascii="Times New Roman" w:eastAsia="宋体" w:cs="Times New Roman" w:hAnsi="Times New Roman"/>
      <w:kern w:val="2"/>
      <w:sz w:val="21"/>
      <w:szCs w:val="24"/>
      <w:lang w:val="en-US" w:eastAsia="zh-CN" w:bidi="ar-SA"/>
    </w:rPr>
  </w:style>
  <w:style w:type="paragraph" w:styleId="1">
    <w:name w:val="heading 1"/>
    <w:qFormat/>
    <w:basedOn w:val="0"/>
    <w:next w:val="0"/>
    <w:link w:val="1Char"/>
    <w:pPr>
      <w:keepNext/>
      <w:keepLines/>
      <w:spacing w:before="340" w:after="330" w:line="578" w:lineRule="auto"/>
      <w:outlineLvl w:val="0"/>
    </w:pPr>
    <w:rPr>
      <w:b/>
      <w:bCs/>
      <w:kern w:val="44"/>
      <w:sz w:val="44"/>
      <w:szCs w:val="44"/>
    </w:rPr>
  </w:style>
  <w:style w:type="character" w:customStyle="1" w:styleId="1Char">
    <w:name w:val="heading 1 Char"/>
    <w:basedOn w:val="10"/>
    <w:link w:val="1"/>
    <w:rPr>
      <w:rFonts w:ascii="Times New Roman" w:eastAsia="宋体" w:cs="Times New Roman" w:hAnsi="Times New Roman"/>
      <w:b/>
      <w:bCs/>
      <w:kern w:val="44"/>
      <w:sz w:val="44"/>
      <w:szCs w:val="44"/>
      <w:lang w:val="en-US" w:eastAsia="zh-CN" w:bidi="ar-SA"/>
    </w:rPr>
  </w:style>
  <w:style w:type="paragraph" w:styleId="2">
    <w:name w:val="heading 2"/>
    <w:qFormat/>
    <w:basedOn w:val="0"/>
    <w:next w:val="0"/>
    <w:link w:val="2Char"/>
    <w:pPr>
      <w:keepNext/>
      <w:keepLines/>
      <w:spacing w:before="260" w:after="260" w:line="415" w:lineRule="auto"/>
      <w:outlineLvl w:val="1"/>
    </w:pPr>
    <w:rPr>
      <w:rFonts w:ascii="Times New Roman" w:eastAsia="黑体" w:hAnsi="Times New Roman"/>
      <w:b/>
      <w:bCs/>
      <w:sz w:val="32"/>
      <w:szCs w:val="32"/>
    </w:rPr>
  </w:style>
  <w:style w:type="character" w:customStyle="1" w:styleId="2Char">
    <w:name w:val="heading 2 Char"/>
    <w:basedOn w:val="10"/>
    <w:link w:val="2"/>
    <w:rPr>
      <w:rFonts w:ascii="Times New Roman" w:eastAsia="黑体" w:cs="Times New Roman" w:hAnsi="Times New Roman"/>
      <w:b/>
      <w:bCs/>
      <w:kern w:val="2"/>
      <w:sz w:val="32"/>
      <w:szCs w:val="32"/>
      <w:lang w:val="en-US" w:eastAsia="zh-CN" w:bidi="ar-SA"/>
    </w:rPr>
  </w:style>
  <w:style w:type="paragraph" w:styleId="3">
    <w:name w:val="heading 3"/>
    <w:qFormat/>
    <w:basedOn w:val="0"/>
    <w:next w:val="0"/>
    <w:link w:val="3Char"/>
    <w:pPr>
      <w:keepNext/>
      <w:keepLines/>
      <w:spacing w:before="260" w:after="260" w:line="415" w:lineRule="auto"/>
      <w:outlineLvl w:val="2"/>
    </w:pPr>
    <w:rPr>
      <w:b/>
      <w:bCs/>
      <w:sz w:val="32"/>
      <w:szCs w:val="32"/>
    </w:rPr>
  </w:style>
  <w:style w:type="character" w:customStyle="1" w:styleId="3Char">
    <w:name w:val="heading 3 Char"/>
    <w:basedOn w:val="10"/>
    <w:link w:val="3"/>
    <w:rPr>
      <w:rFonts w:ascii="Times New Roman" w:eastAsia="宋体" w:cs="Times New Roman" w:hAnsi="Times New Roman"/>
      <w:b/>
      <w:bCs/>
      <w:kern w:val="2"/>
      <w:sz w:val="32"/>
      <w:szCs w:val="32"/>
      <w:lang w:val="en-US" w:eastAsia="zh-CN" w:bidi="ar-SA"/>
    </w:rPr>
  </w:style>
  <w:style w:type="character" w:default="1" w:styleId="10">
    <w:name w:val="Default Paragraph Font"/>
    <w:qFormat/>
    <w:autoRedefine/>
  </w:style>
  <w:style w:type="paragraph" w:styleId="15">
    <w:name w:val="Body Text"/>
    <w:qFormat/>
    <w:basedOn w:val="0"/>
    <w:autoRedefine/>
    <w:rPr>
      <w:rFonts w:ascii="仿宋_GB2312" w:eastAsia="仿宋_GB2312"/>
      <w:sz w:val="28"/>
      <w:szCs w:val="20"/>
    </w:rPr>
  </w:style>
  <w:style w:type="paragraph" w:styleId="16">
    <w:name w:val="toc 5"/>
    <w:qFormat/>
    <w:basedOn w:val="0"/>
    <w:autoRedefine/>
    <w:next w:val="0"/>
    <w:pPr>
      <w:ind w:left="1680"/>
    </w:pPr>
  </w:style>
  <w:style w:type="paragraph" w:styleId="17">
    <w:name w:val="toc 3"/>
    <w:qFormat/>
    <w:basedOn w:val="0"/>
    <w:autoRedefine/>
    <w:next w:val="0"/>
    <w:pPr>
      <w:ind w:left="840"/>
    </w:pPr>
  </w:style>
  <w:style w:type="paragraph" w:styleId="18">
    <w:name w:val="footer"/>
    <w:qFormat/>
    <w:basedOn w:val="0"/>
    <w:pPr>
      <w:tabs>
        <w:tab w:val="center" w:pos="4153"/>
        <w:tab w:val="right" w:pos="8306"/>
      </w:tabs>
      <w:snapToGrid w:val="0"/>
      <w:jc w:val="left"/>
    </w:pPr>
    <w:rPr>
      <w:sz w:val="18"/>
    </w:rPr>
  </w:style>
  <w:style w:type="paragraph" w:styleId="19">
    <w:name w:val="header"/>
    <w:qFormat/>
    <w:basedOn w:val="0"/>
    <w:autoRedefine/>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20">
    <w:name w:val="toc 1"/>
    <w:qFormat/>
    <w:basedOn w:val="0"/>
    <w:autoRedefine/>
    <w:next w:val="0"/>
  </w:style>
  <w:style w:type="paragraph" w:styleId="21">
    <w:name w:val="toc 4"/>
    <w:qFormat/>
    <w:basedOn w:val="0"/>
    <w:autoRedefine/>
    <w:next w:val="0"/>
    <w:pPr>
      <w:ind w:left="1260"/>
    </w:pPr>
  </w:style>
  <w:style w:type="paragraph" w:styleId="22">
    <w:name w:val="toc 2"/>
    <w:qFormat/>
    <w:basedOn w:val="0"/>
    <w:autoRedefine/>
    <w:next w:val="0"/>
    <w:pPr>
      <w:ind w:left="420"/>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customXml" Target="../customXml/item1.xml"/><Relationship Id="rId6" Type="http://schemas.openxmlformats.org/officeDocument/2006/relationships/theme" Target="theme/theme1.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
        <a:ea typeface=""/>
        <a:cs typeface=""/>
      </a:majorFont>
      <a:minorFont>
        <a:latin typeface=""/>
        <a:ea typeface=""/>
        <a:cs typeface=""/>
      </a:minorFont>
    </a:fontScheme>
    <a:fmtScheme name="WPS">
      <a:fillStyleLst>
        <a:solidFill>
          <a:schemeClr val="phClr"/>
        </a:solidFill>
        <a:gradFill rotWithShape="1">
          <a:gsLst>
            <a:gs pos="0">
              <a:schemeClr val="phClr">
                <a:lumOff val="17500"/>
              </a:schemeClr>
            </a:gs>
            <a:gs pos="100000">
              <a:schemeClr val="phClr"/>
            </a:gs>
          </a:gsLst>
          <a:lin ang="2700000" scaled="1"/>
        </a:gradFill>
        <a:gradFill rotWithShape="1">
          <a:gsLst>
            <a:gs pos="0">
              <a:schemeClr val="phClr">
                <a:hueOff val="-2520000"/>
              </a:schemeClr>
            </a:gs>
            <a:gs pos="100000">
              <a:schemeClr val="phClr"/>
            </a:gs>
          </a:gsLst>
          <a:lin ang="2700000" scaled="1"/>
        </a:gradFill>
      </a:fillStyleLst>
      <a:lnStyleLst>
        <a:ln w="12700" cmpd="sng" cap="flat">
          <a:solidFill>
            <a:schemeClr val="phClr"/>
          </a:solidFill>
          <a:prstDash val="solid"/>
          <a:miter/>
        </a:ln>
        <a:ln w="12700" cmpd="sng" cap="flat">
          <a:solidFill>
            <a:schemeClr val="phClr"/>
          </a:solidFill>
          <a:prstDash val="solid"/>
          <a:miter/>
        </a:ln>
        <a:ln w="12700" cmpd="sng" cap="flat">
          <a:gradFill rotWithShape="1">
            <a:gsLst>
              <a:gs pos="0">
                <a:schemeClr val="phClr">
                  <a:hueOff val="-4200000"/>
                </a:schemeClr>
              </a:gs>
              <a:gs pos="100000">
                <a:schemeClr val="phClr"/>
              </a:gs>
            </a:gsLst>
            <a:lin ang="2700000" scaled="1"/>
          </a:gradFill>
          <a:prstDash val="solid"/>
          <a:miter/>
        </a:ln>
      </a:lnStyleLst>
      <a:effectStyleLst>
        <a:effectStyle>
          <a:effectLst>
            <a:outerShdw sx="100000" sy="100000" algn="ctr" rotWithShape="0" blurRad="101600" dist="50800" dir="5400000">
              <a:schemeClr val="phClr">
                <a:alpha val="60000"/>
              </a:schemeClr>
            </a:outerShdw>
          </a:effectLst>
        </a:effectStyle>
        <a:effectStyle>
          <a:effectLst>
            <a:reflection stA="50000" endA="300" endPos="40000" dist="25400" dir="5400000" sy="-100000" algn="bl" rotWithShape="0"/>
          </a:effectLst>
        </a:effectStyle>
        <a:effectStyle>
          <a:effectLst>
            <a:outerShdw sx="100000" sy="100000" algn="ctr" rotWithShape="0" blurRad="57150" dist="19050" dir="5400000">
              <a:srgbClr val="000000">
                <a:alpha val="62745"/>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1"/>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ustomData xmlns="http://www.yozosoft.com.cn/officeDocument/2016/customData">
  <customProps>
    <docPr revisions="3 0 5 0 0 0 1 0 0 0 3000 0 1 1 1 1"/>
    <sectPr/>
  </customProps>
</customData>
</file>

<file path=customXml/itemProps1.xml><?xml version="1.0" encoding="utf-8"?>
<ds:datastoreItem xmlns:ds="http://schemas.openxmlformats.org/officeDocument/2006/customXml" ds:itemID="{DC2C47A8-0DF1-49F3-B5E0-60421DE3773D}">
  <ds:schemaRefs>
    <ds:schemaRef ds:uri="http://www.yozosoft.com.cn/officeDocument/2016/customData"/>
  </ds:schemaRefs>
</ds:datastoreItem>
</file>

<file path=docProps/app.xml><?xml version="1.0" encoding="utf-8"?>
<Properties xmlns="http://schemas.openxmlformats.org/officeDocument/2006/extended-properties">
  <Template>Normal.eit</Template>
  <TotalTime>51</TotalTime>
  <Application>WPS_Yozo_Office9.0.2389.101ZH.S1</Application>
  <Pages>9</Pages>
  <Words>0</Words>
  <Characters>3198</Characters>
  <Lines>0</Lines>
  <Paragraphs>77</Paragraphs>
  <CharactersWithSpaces>4264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Administrator</dc:creator>
  <cp:lastModifiedBy>User_文印综合员</cp:lastModifiedBy>
  <cp:revision>0</cp:revision>
  <dcterms:created xsi:type="dcterms:W3CDTF">2023-10-30T08:15:00Z</dcterms:created>
  <dcterms:modified xsi:type="dcterms:W3CDTF">2025-06-25T06:40:38Z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2052-12.1.0.21171</vt:lpwstr>
  </property>
  <property fmtid="{D5CDD505-2E9C-101B-9397-08002B2CF9AE}" pid="3" name="ICV">
    <vt:lpwstr>356EFE2F4DA94120AF007EE372CE6B49_12</vt:lpwstr>
  </property>
  <property fmtid="{D5CDD505-2E9C-101B-9397-08002B2CF9AE}" pid="4" name="KSOTemplateDocerSaveRecord">
    <vt:lpwstr>eyJoZGlkIjoiMzEwNTM5NzYwMDRjMzkwZTVkZjY2ODkwMGIxNGU0OTUiLCJ1c2VySWQiOiI1MTI3NjY0MzYifQ==</vt:lpwstr>
  </property>
</Properties>
</file>