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pStyle w:val="Heading3"/>
      </w:pPr>
      <w:r>
        <w:t>6.1.1 公式的作用与核验要点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pPr>
        <w:pStyle w:val="Heading3"/>
      </w:pPr>
      <w:r>
        <w:t>6.1.2 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jc w:val="center"/>
      </w:pPr>
      <w:r>
        <w:rPr>
          <w:b/>
          <w:sz w:val="21"/>
        </w:rPr>
        <w:t>表6-2　公式引用方式的变化（示例）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原公式（位于第11行）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=SUM(B2:B10)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相对引用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复制到第12行后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=SUM(B3:B11)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引用范围随行号自动下移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固定区域的写法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=SUM($B$2:$B$10)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美元符号锁定区域，复制后引用不变</w:t>
            </w:r>
          </w:p>
        </w:tc>
      </w:tr>
    </w:tbl>
    <w:p>
      <w:pPr>
        <w:pStyle w:val="Heading3"/>
      </w:pPr>
      <w:r>
        <w:t>6.1.3 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pPr>
        <w:jc w:val="center"/>
      </w:pPr>
      <w:r>
        <w:rPr>
          <w:b/>
          <w:sz w:val="21"/>
        </w:rPr>
        <w:t>表6-3　AI生成公式的常见错误类型（示例）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引用范围偏差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求和区域少包含最后一行，或新增数据后未扩展范围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核对范围首尾单元格与数据行数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绝对引用与相对引用混用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公式复制后，本应固定的单元格发生偏移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逐个检查公式中的美元符号用法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数据类型问题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看似数字的单元格实际是文本，求和时被忽略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检查单元格格式，统一转换为数值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条件区域与求和区域大小不一致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返回错误值，或得到错误结果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核对两个区域的行数与列数是否一致</w:t>
            </w:r>
          </w:p>
        </w:tc>
      </w:tr>
    </w:tbl>
    <w:p>
      <w:pPr>
        <w:pStyle w:val="Heading3"/>
      </w:pPr>
      <w:r>
        <w:t>6.1.4 核验一条公式的步骤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pPr>
        <w:ind w:firstLine="420"/>
      </w:pPr>
      <w:r>
        <w:t>一个有效的办法，是把公式套用到一组结果已知的小数据上逐步比对。只有在小数据上结果一致，才可以放心地复制到完整表格中。</w:t>
      </w:r>
    </w:p>
    <w:p>
      <w:pPr>
        <w:pStyle w:val="Heading3"/>
      </w:pPr>
      <w:r>
        <w:t>6.1.5 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pPr>
        <w:ind w:firstLine="420"/>
      </w:pPr>
      <w:r>
        <w:t>【常见误区】有人认为，公式只要能算出结果，就一定正确。实际上，公式可能只是对了一部分数据。另一种误区是把AI给出的公式直接复制到整张表格中，而不检查它是否适用于当前的表格结构。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pStyle w:val="Heading3"/>
      </w:pPr>
      <w:r>
        <w:t>6.2.1 清洗的基本步骤与常见问题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数据清洗的主要步骤（示意）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表6-4列出了几类常见异常值及其处理思路。需要强调的是，发现异常值后，应当先判断它的来源，再决定如何处理，而不能因为它影响了平均值，就随意删除。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表6-4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pPr>
        <w:pStyle w:val="Heading3"/>
      </w:pPr>
      <w:r>
        <w:t>6.2.2 缺失值处理的影响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pPr>
        <w:pStyle w:val="Heading3"/>
      </w:pPr>
      <w:r>
        <w:t>6.2.3 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pPr>
        <w:ind w:firstLine="420"/>
      </w:pPr>
      <w:r>
        <w:t>类型统一之后，应当核对记录数是否与原始数据一致。若转换过程中出现报错而被忽略，或部分数据被静默地转为空值，记录数的变化往往是最早的信号。</w:t>
      </w:r>
    </w:p>
    <w:p>
      <w:pPr>
        <w:pStyle w:val="Heading3"/>
      </w:pPr>
      <w:r>
        <w:t>6.2.4 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pPr>
        <w:pStyle w:val="Heading3"/>
      </w:pPr>
      <w:r>
        <w:t>6.2.5 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firstLine="420"/>
      </w:pPr>
      <w:r>
        <w:t>日志应当按时间顺序逐条记录，每一条都写明处理的对象、方法、影响的记录数和理由。这样，即使原始数据已经被修改，也可以逐步回溯，核对清洗前后的差异。</w:t>
      </w:r>
    </w:p>
    <w:p>
      <w:pPr>
        <w:jc w:val="center"/>
      </w:pPr>
      <w:r>
        <w:rPr>
          <w:b/>
          <w:sz w:val="21"/>
        </w:rPr>
        <w:t>表6-5　数据清洗的步骤与记录（示例）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影响行数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原始文件：问卷汇总_原始.xlsx（只读，不修改）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保留原始记录，便于复核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生成副本：问卷汇总_清洗.xlsx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所有清洗均在副本中进行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删除完全重复的记录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提交时间与内容完全相同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统一日期格式为“年-月-日”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原表存在三种写法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全角数字转为半角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求和公式无法识别全角数字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标记异常值，待核对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核对原始问卷后：1处为录入错误，已更正；2处为真实记录，予以保留并在报告中说明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pPr>
        <w:ind w:firstLine="420"/>
      </w:pPr>
      <w:r>
        <w:t>【常见误区】有人认为，删除异常值可以让结果更加合理。但如果异常值是真实存在的，删除它就等于改变了研究对象。另一种误区是直接在原始文件上修改，导致无法追溯哪些数据被改动过。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数据分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图6-5　小组讨论图表的选择（卡通示意）</w:t>
      </w:r>
    </w:p>
    <w:p>
      <w:pPr>
        <w:pStyle w:val="Heading3"/>
      </w:pPr>
      <w:r>
        <w:t>6.3.1 图表与分析目的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-6给出了一个简单的选择思路，表6-6则列出了常见图形的适用场景和注意事项。</w:t>
      </w:r>
    </w:p>
    <w:p>
      <w:pPr>
        <w:ind w:firstLine="420"/>
      </w:pPr>
      <w:r>
        <w:t>选择图表时，可以先写出一句话的分析目的，例如“比较三个社区的参与率”或“观察半年内参与率的变化”，再决定用什么图形。没有明确的目的，图表往往只是数字的装饰。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根据分析目的选择图表（示意）</w:t>
      </w:r>
    </w:p>
    <w:p>
      <w:pPr>
        <w:jc w:val="center"/>
      </w:pPr>
      <w:r>
        <w:rPr>
          <w:b/>
          <w:sz w:val="21"/>
        </w:rPr>
        <w:t>表6-6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pPr>
        <w:pStyle w:val="Heading3"/>
      </w:pPr>
      <w:r>
        <w:t>6.3.2 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pPr>
        <w:pStyle w:val="Heading3"/>
      </w:pPr>
      <w:r>
        <w:t>6.3.3 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在实际操作中，建议先用少量数据检查透视表的结构，再拖入完整的数据表。若行与列的字段放错，汇总结果可能看似合理，却回答了另一个问题。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pPr>
        <w:pStyle w:val="Heading3"/>
      </w:pPr>
      <w:r>
        <w:t>6.3.4 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pPr>
        <w:ind w:firstLine="420"/>
      </w:pPr>
      <w:r>
        <w:t>标题之外，图的下方通常还需要数据说明，如数据来源、统计口径、样本量与缺失值的处理方式。这些信息不占篇幅，却决定了读者能否判断图中数字的可信程度。</w:t>
      </w:r>
    </w:p>
    <w:p>
      <w:pPr>
        <w:pStyle w:val="Heading3"/>
      </w:pPr>
      <w:r>
        <w:t>6.3.5 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jc w:val="center"/>
      </w:pPr>
      <w:r>
        <w:rPr>
          <w:b/>
          <w:sz w:val="21"/>
        </w:rPr>
        <w:t>表6-7　常见图表错误与改进方法（示例）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改进方法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用饼图表示很多类别的比例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扇形细小，难以比较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改用排序后的条形图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为图形加上三维效果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前景部分因透视显得更大，改变了比例判断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改用二维图形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使用双纵轴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刻度可任意调整，容易制造虚假的相关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说明两个轴的含义，避免据此推断因果</w:t>
            </w:r>
          </w:p>
        </w:tc>
      </w:tr>
    </w:tbl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pPr>
        <w:ind w:firstLine="420"/>
      </w:pPr>
      <w:r>
        <w:t>【常见误区】有人认为，图表越花哨，越能吸引读者。实际上，装饰过多的图表会分散注意力，使读者难以看清真正的比较。另一种误区是不加思考地使用饼图，而不考虑类别的数量和比例是否适合。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pStyle w:val="Heading3"/>
      </w:pPr>
      <w:r>
        <w:t>6.4.1 描述统计与计算检查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-8列出了几个常用指标的核验方法。</w:t>
      </w:r>
    </w:p>
    <w:p>
      <w:pPr>
        <w:jc w:val="center"/>
      </w:pPr>
      <w:r>
        <w:rPr>
          <w:b/>
          <w:sz w:val="21"/>
        </w:rPr>
        <w:t>表6-8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-7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结果核验的主要步骤（示意）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pPr>
        <w:pStyle w:val="Heading3"/>
      </w:pPr>
      <w:r>
        <w:t>6.4.2 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pPr>
        <w:ind w:firstLine="420"/>
      </w:pPr>
      <w:r>
        <w:t>两者的差异，正是判断数据是否偏斜的线索。若平均值明显高于中位数，通常意味着少数较大的数值拉高了整体水平，报告中应当说明这一点。</w:t>
      </w:r>
    </w:p>
    <w:p>
      <w:pPr>
        <w:pStyle w:val="Heading3"/>
      </w:pPr>
      <w:r>
        <w:t>6.4.3 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pPr>
        <w:pStyle w:val="Heading3"/>
      </w:pPr>
      <w:r>
        <w:t>6.4.4 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pPr>
        <w:ind w:firstLine="420"/>
      </w:pPr>
      <w:r>
        <w:t>在报告中，平均值与标准差通常应当一起给出。只报告平均值，读者无法判断数值是集中在平均值附近，还是分布很分散，结论的稳健性也就无从判断。</w:t>
      </w:r>
    </w:p>
    <w:p>
      <w:pPr>
        <w:pStyle w:val="Heading3"/>
      </w:pPr>
      <w:r>
        <w:t>6.4.5 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pPr>
        <w:pStyle w:val="Heading3"/>
      </w:pPr>
      <w:r>
        <w:t>6.4.6 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firstLine="420"/>
      </w:pPr>
      <w:r>
        <w:t>对账时，若差额不为零，应先排查是否存在漏计、重复计算或口径不一致，再判断问题出在数据还是计算上。</w:t>
      </w:r>
    </w:p>
    <w:p>
      <w:pPr>
        <w:jc w:val="center"/>
      </w:pPr>
      <w:r>
        <w:rPr>
          <w:b/>
          <w:sz w:val="21"/>
        </w:rPr>
        <w:t>表6-9　汇总结果与手工结果的对账（示例）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核对项目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软件结果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手工结果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社区A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社区B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社区C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社区D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各社区合计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明细表有效记录数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小组在统计班级测验成绩后，发现平均分明显高于预期。组长认为可能是题目偏简单，想直接写进报告。组员复算时发现，有一位同学的成绩被误录为满分。小组没有回避这一结果，而是回到原始试卷核对、更正数据，并在报告中说明更正的原因以及结论的变化。</w:t>
      </w:r>
    </w:p>
    <w:p>
      <w:pPr>
        <w:ind w:firstLine="420"/>
      </w:pPr>
      <w:r>
        <w:t>点题：结果核验的目的，不是让数字看上去合理，而是让数字经得起重新计算。发现错误时主动更正并说明来龙去脉，比让错误结论留在报告中更值得信任。这既是数据工作的基本规范，也是对同伴和读者的诚实。</w:t>
      </w:r>
    </w:p>
    <w:p>
      <w:pPr>
        <w:ind w:firstLine="420"/>
      </w:pPr>
      <w:r>
        <w:t>【常见误区】有人认为，只要用软件计算，结果就一定准确。但软件只是执行指令，指令错误，结果也会错误。另一种误区是只报告平均值，而不说明数据的分布，使读者无法判断结果的可靠程度。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pStyle w:val="Heading3"/>
      </w:pPr>
      <w:r>
        <w:t>6.5.1 实训的任务与结构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-10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表6-10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数据分析实训的主要流程（示意）</w:t>
      </w:r>
    </w:p>
    <w:p>
      <w:pPr>
        <w:pStyle w:val="Heading3"/>
      </w:pPr>
      <w:r>
        <w:t>6.5.2 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pPr>
        <w:pStyle w:val="Heading3"/>
      </w:pPr>
      <w:r>
        <w:t>6.5.3 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pPr>
        <w:pStyle w:val="Heading3"/>
      </w:pPr>
      <w:r>
        <w:t>6.5.4 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起步时，还应把数据集的来源、采集时间和字段含义写入任务记录，并在开始清洗前保留一份未经修改的备份。</w:t>
      </w:r>
    </w:p>
    <w:p>
      <w:pPr>
        <w:pStyle w:val="Heading3"/>
      </w:pPr>
      <w:r>
        <w:t>6.5.5 实训的评价与核心</w:t>
      </w:r>
    </w:p>
    <w:p>
      <w:pPr>
        <w:ind w:firstLine="420"/>
      </w:pPr>
      <w:r>
        <w:t>实训的评价可以参考表6-11所示的量规。评价不仅关注报告的数字是否正确，也关注过程是否可以被复核，以及结论是否与数据相符。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表6-11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-10）、一张图表（附选择理由）、一份结果核验记录（表6-8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图6-10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