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r>
        <w:rPr>
          <w:b/>
        </w:rPr>
        <w:t>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r>
        <w:rPr>
          <w:b/>
        </w:rPr>
        <w:t>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r>
        <w:rPr>
          <w:b/>
        </w:rPr>
        <w:t>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r>
        <w:rPr>
          <w:b/>
        </w:rPr>
        <w:t>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r>
        <w:rPr>
          <w:b/>
        </w:rPr>
        <w:t>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7.3节中对数据列格式与个人信息的检查相一致，也是最小权限原则在数据层面的体现。</w:t>
      </w:r>
    </w:p>
    <w:p>
      <w:r>
        <w:rPr>
          <w:b/>
        </w:rPr>
        <w:t>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r>
        <w:rPr>
          <w:b/>
        </w:rPr>
        <w:t>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r>
        <w:rPr>
          <w:b/>
        </w:rPr>
        <w:t xml:space="preserve">记忆与上下文的管理</w:t>
      </w:r>
    </w:p>
    <w:p>
      <w:pPr>
        <w:ind w:firstLine="420"/>
      </w:pPr>
      <w:r>
        <w:t xml:space="preserve">智能体在工作时，会携带一部分历史信息：前一次运行的结果、用户的修改意见，以及为完成任务而临时保存的中间数据。这些信息构成了智能体的记忆。与第2章讨论的对话上下文相比，智能体的记忆往往更持久，也更容易被忽略。一次对话结束后，聊天窗口可以关闭，而智能体的长期记忆可能仍然保存在配置之中，并在下一次运行时继续影响它的判断。</w:t>
      </w:r>
    </w:p>
    <w:p>
      <w:pPr>
        <w:ind w:firstLine="420"/>
      </w:pPr>
      <w:r>
        <w:t xml:space="preserve">因此，配置时应当明确三个问题：记忆保存什么，保存多久，以及由谁清理。对于小何的报名整理智能体，她规定只保存每期活动的统计结果与待确认事项，不保存报名者的联系方式；每期活动结束后，相关记忆由负责人在确认统计无误后清空。这样做的好处是，即使记忆内容被误用或泄露，影响的范围也是有限的。</w:t>
      </w:r>
    </w:p>
    <w:p>
      <w:pPr>
        <w:ind w:firstLine="420"/>
      </w:pPr>
      <w:r>
        <w:t xml:space="preserve">记忆还会带来另一类风险，即旧信息的干扰。如果上一期活动的时间或地点仍保存在记忆中，智能体在处理新一期报名表时，就可能把旧的日期当作新的日期。配置中可以要求智能体在每次运行开始时，先核对本次任务的活动名称与日期；若与记忆中的信息不一致，应当暂停并请求确认。</w:t>
      </w:r>
    </w:p>
    <w:p>
      <w:r>
        <w:rPr>
          <w:b/>
        </w:rPr>
        <w:t>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-5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图10-5　智能体操作的人工确认判断流程（示意）</w:t>
      </w:r>
    </w:p>
    <w:p>
      <w:pPr>
        <w:ind w:firstLine="420"/>
      </w:pPr>
      <w:r>
        <w:t>权限边界应当按照操作的风险进行分级。表10-4给出了一种常见的分级方式。分级的目的，是让每一类操作都有与之相称的控制方法，而不是对所有操作一律放行或一律禁止。</w:t>
      </w:r>
    </w:p>
    <w:p>
      <w:pPr>
        <w:jc w:val="center"/>
      </w:pPr>
      <w:r>
        <w:rPr>
          <w:b/>
          <w:sz w:val="21"/>
        </w:rPr>
        <w:t>表10-4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r>
        <w:rPr>
          <w:b/>
        </w:rPr>
        <w:t>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-4的级别分别开放权限。当任务结束后，应当及时收回不再需要的权限。</w:t>
      </w:r>
    </w:p>
    <w:p>
      <w:r>
        <w:rPr>
          <w:b/>
        </w:rPr>
        <w:t>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-5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表10-5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r>
        <w:rPr>
          <w:b/>
        </w:rPr>
        <w:t>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r>
        <w:rPr>
          <w:b/>
        </w:rPr>
        <w:t>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r>
        <w:rPr>
          <w:b/>
        </w:rPr>
        <w:t xml:space="preserve">多智能体的责任划分</w:t>
      </w:r>
    </w:p>
    <w:p>
      <w:pPr>
        <w:ind w:firstLine="420"/>
      </w:pPr>
      <w:r>
        <w:t xml:space="preserve">当一项任务由多个智能体协作完成时，责任的划分会变得更加复杂。例如，由一个智能体负责收集数据，另一个负责生成统计，第三个负责发送通知。如果最终的通知出现错误，问题可能出在任何一个环节。因此，多智能体协作时，应当为每个智能体指定明确的负责人，并要求每一次交接都留下记录，包括交接的内容、时间与接收方。当错误出现时，负责人可以依据记录逐段回溯，找出问题所在，而不是笼统地认为是“智能体的错误”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【练习】请为一个智能体列出它可能执行的五种操作，按照表10-4将它们分为四个权限级别，并说明每一个需确认操作的确认内容。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-4）；至少两次试运行的日志摘要；一份人工确认记录（参照表10-5）；以及一份不少于八百字的作品说明。</w:t>
      </w:r>
    </w:p>
    <w:p>
      <w:pPr>
        <w:ind w:firstLine="420"/>
      </w:pPr>
      <w:r>
        <w:t>实训可以按照图10-6所示的流程进行。与前面章节一样，它的顺序不宜颠倒。若先开放全部权限再考虑确认，常见的结果是权限已经被用于不该执行的操作，之后再补救就十分困难。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图10-6　带人工确认的智能体实训流程（示例）</w:t>
      </w:r>
    </w:p>
    <w:p>
      <w:pPr>
        <w:ind w:firstLine="420"/>
      </w:pPr>
      <w:r>
        <w:t>实训的评价可以参考表10-6所示的量规。评价重点关注配置是否清楚、权限是否与风险相称、确认是否真实有效，以及失败时的处理是否可行。</w:t>
      </w:r>
    </w:p>
    <w:p>
      <w:pPr>
        <w:jc w:val="center"/>
      </w:pPr>
      <w:r>
        <w:rPr>
          <w:b/>
          <w:sz w:val="21"/>
        </w:rPr>
        <w:t>表10-6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r>
        <w:rPr>
          <w:b/>
        </w:rPr>
        <w:t>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