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Rule="exact" w:line="400" w:before="0" w:after="240"/>
        <w:jc w:val="center"/>
      </w:pPr>
      <w:r>
        <w:rPr>
          <w:rFonts w:ascii="Times New Roman" w:hAnsi="Times New Roman" w:cs="Times New Roman" w:eastAsia="黑体"/>
          <w:b/>
          <w:sz w:val="32"/>
        </w:rPr>
        <w:t>写作规则（全书统一）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一、全书定位与读者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教材面向高职学生，会计与非会计专业（含全校选修）。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项目化：模块 → 项目 → 任务。每项目3个任务；项目1为导论，不计模块。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字数：项目2、3约1.2–1.5万字；项目4为1.5–2万字。写作要有实际价值，不为凑字数写空话；每段要服务于本任务的核心概念或操作。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主线：校园一学期社团财务（校园线，星空读书会）为主，职业线（虚构小微企业青禾文具）延伸，两线成对出现。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二、项目与任务结构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项目标题：以“从一件生活事说起：财务词”形式，含生活词与财务词，不写“AI”。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任务标题：写AI用途，如“用AI完成分类”。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每任务一个核心概念，一处思政园地。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任务内顺序：导入（校园线 / 职业线成对）→ 一、二、三…专业知识（【通识】【拓展】标注）→ AI操作 → 回到案例 → 常见误区 → 思政园地 → 【练习】→ 小结。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【拓展】放在项目末尾，并标注选学；会计深入内容只放拓展。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项目末尾：项目总结（不写“项目小结”），含表格核心概念与做法，以及本项目知识图谱。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学习目标：用思维导图展示（图x-1）。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三、法规规则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其他项目正文不引用法规。法规集中到独立任务（任务13.3）与附录索引表。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法规只写真实、可核实的条文。无法核实即删。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索引表四列：名称、发文机关与文号、发布与修订情况、条文编号。不写核实日期或内部说明。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可设计学生用AI核实条文的练习，以官方原文为准。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四、版式（全书统一，不得按项目变化）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纸张：A4；页边距左右3.17cm，上下2.54cm；页脚居中页码（宋体9pt）。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正文：宋体小四（12pt），固定行距20磅，首行缩进2字符，段前段后0。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一级标题（项目标题）：黑体三号（16pt）居中。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二级标题（任务标题、模块标题）：黑体四号（14pt）。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三级标题（小节）：黑体小四加粗。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表题：黑体五号（10.5pt）居中，位于表上方，格式“表x-y 标题”。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表格：宋体五号（10.5pt），单倍行距，表头加粗居中，网格边框。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西文：Times New Roman。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图片：锚定式，环绕方式为上下型（wrapTopAndBottom），段落居中。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图注：紧跟图片下方，宋体五号，居中，格式“图x-y 说明”。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五、图的规则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编号：图x-y，按出现顺序连续编号。项目末的知识图谱编号排在最后。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类型：按内容选择。本书常用：思维导图（学习目标）、知识图谱（项目总结）、饼图、柱状图、折线图、流程图、时间线图、表格不作图。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样式（全部图统一，不得每项目一套）：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配色：深藏青 #1F3A5F（中心节点与任务节点，白字），浅蓝云朵底 #EAF1F8（任务所在区域），节点底 #E8F0F8（深藏青边框，深字）；连线浅灰 #9AA8B8（实线为主干，虚线为交叉关系并标注关系词）。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字体：Noto Sans SC（思源黑体）常规字重；字号统一。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白底，无标题文字（标题由正文图注承担）。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知识图谱：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云朵状发散网状结构，中心节点为本项目名称；每个任务为一朵浅蓝云，内含任务节点与知识点节点。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不得画成矩阵、分列网格或树形；连线需闭合并标注关系。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名称统一为“知识图谱”；图注格式“图x-y 本项目知识图谱”。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学习目标思维导图（必须是树形卡片样式，不是知识图谱）：顶部为深藏青标题框（“项目名（项目N）”，白字）；下面三列卡片，依次为知识目标、能力目标、素养目标；每列卡片顶部为浅蓝标题栏（#E8F0F8，深藏青字），下面用“•”列出三条要点。连线为深藏青直角折线。参照 图2-1、图4-1；绘图函数为 kgstyle.mindmap_cards()。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知识图谱（项目总结）：云朵式网状结构，与思维导图样式严格区分，不得混用。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其他图（饼图、柱状图、折线图、流程图）：也用上述配色；流程图框线与箭头统一，不得出现文字溢出或回环箭头遮挡。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人物场景图：每个项目至少一张，放在第一个任务“导入”之后，用于交代生活场景。图中出现的命名人物，外貌须与第八节设定一致；主角为小何。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流程图（参照图4-7）：白底，蓝色圆角框（#2E6DB4），判断框为琥珀色菱形（#B07A1E，填充#FFF7E6），箭头深灰（#4A5568），“是/否”标注在分支线上。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数据图（饼图、柱状图、折线图）：深藏青（#1F3A5F）为主色，浅蓝（#9CB8D6、#6F8FB5）为辅色，去掉上方和右侧边框，网格线浅灰。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生成图的代码统一保存在 /home/user/tools/kgstyle.py（绘图样式库），图表脚本见 /home/user/tools/src/fig3_v2.py。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六、生成与文件管理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所有内容存入“AI大模型在财务场景的应用/”文件夹；仓库只上传Word（.docx）与图片（.png），不上传md等源稿。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文档名带版本序号：如“项目3_范例_v2.docx”。同版本可覆盖；新版本另起序号，旧版删除（git rm）。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生成工具统一为 /home/user/tools/book_docx.py：源稿（md格式，仅作标记用）→ docx。所有项目必须用该工具生成，不得各写一套。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源稿放在 /tmp/pN/ 或 /home/user/tools/src/（工作区，不入库）。注意 /tmp 可能被重置，重要源稿应备份到 /home/user/tools/src/。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Word只写适合交给编辑的内容，不写版本号、状态、内部说明、“样章”等字样。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>七、写作禁忌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项目标题不写“AI”（导论除外）。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模块标题不带场景词。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不写内部说明、待确认字样、版本记录。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不编造数据、字数、出版时间、市场调研数据。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工具截图与操作步骤需标注版本与查询日期。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政策引用须依法核实，出版前复核。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八、人物设定（全书统一，文字与图片必须一致）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原则：每个有名有姓的人物，全书只有一种身份、一套外貌描述。图中出现的命名人物，外貌必须与本节描述相符。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未命名的路人（如“社员”“同学”）不得复用主角外貌，应另行描述，且不得与本节人物相同。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生成人物图时，提示词直接引用本节的外貌描述，不另起描述。图注须写明人物名字，与正文一致。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星空读书会：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小何｜星空读书会财务干事，全书配图主角。外貌：年轻女大学生，肩长黑发、黄色发夹、圆框眼镜、浅蓝连帽衫、蓝色牛仔裤、白色运动鞋。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李想想｜星空读书会社长（男），负责审批与决策。外貌：短平头，深灰色夹克，白色T恤，深色休闲裤。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小韩｜星空读书会社员，学院图书馆勤工俭学学生（女），与财务工作无直接职责。外貌：齐肩栗色卷发，不戴眼镜，米色针织开衫，深蓝色长裤，红色帆布包，棕色帆布鞋。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青禾文具：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陈静｜财务主管（女），负责审核与把关，是孙悦、小周的直接上级。外貌：齐耳深棕短发，方框眼镜，深灰色西装外套，白色衬衫。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孙悦｜实习生（女），负责整理票据与初步核对，向陈静汇报。外貌：及肩马尾，米色毛衣，灰色长裤，手持笔记本。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小周｜财务助理（女），负责记账与报销，向陈静汇报。外貌：齐耳黑色短发，浅绿色衬衫，黑色长裤，手持计算器。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王涛｜销售部员工（男），项目7职业线工资条的当事人。外貌：平头，格子衬衫，深色长裤。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赵敏｜行政部员工，负责资产库房与台账的实物管理。外貌：中长直发，灰色针织衫，黑色长裙。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未命名人物（社员、同学、员工等）使用下列固定外貌模板，每个模板在全书只对应一张图，且不得与第八节的命名人物相似（不戴眼镜，不用小何的长黑发与连帽衫，不用小韩的卷发与开衫，不用孙悦的马尾，不用陈静的深棕短发）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模板A｜男，黑色中短发（自然蓬松），米色短袖衬衫，卡其色长裤，白色运动鞋。（图1-2）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模板B｜女，齐肩直发，棕色，橙色针织背心，白色衬衫，浅色长裙。（图2-2）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模板C｜男，侧分短发，深棕色，白色衬衫，深灰色针织马甲，深蓝色长裤。（图3-2）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模板D｜女，丸子头，粉色卫衣，灰色九分裤。（图3-5）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模板E｜男，平头，红色羽绒马甲，黑色长裤。（图4-3）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模板F｜女，齐刘海短发，紫色毛衣，牛仔短裙。（图4-4）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模板G｜男，短卷发，深绿色polo衫，卡其色长裤。（图5-2）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  – 模板H｜女，短发配浅色发带，黄色衬衫，黑色西裤。（图6-2）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人物图风格（全书统一，不分校园线与职业线）：线描扁平，柔和淡色，白底，无文字；同一画面只出现一个主要人物；与小何配图（图8-2 等）为同一风格。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九、机构与背景（全书统一）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星空读书会：某高校学生社团（阅读类），挂靠学院。社长李想想，财务干事小何。主要活动：读书分享会、校园文化节义卖、海报宣传。经费来源：学院拨款与社员活动收入。财务口径：收入按实际到账，支出按实际付款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青禾文具：虚构小微企业，经营文具与礼品。财务主管陈静，实习生孙悦，财务助理小周，销售部王涛，行政部赵敏。财务口径与星空一致；利润＝收入－销货成本－费用。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校园线与职业线成对出现：同一知识点，校园线使用星空的数据，职业线使用青禾的数据；两线数据互不混用。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十、核心数据（全书统一，修改任何数字须同步全部出处）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b/>
                <w:sz w:val="21"/>
              </w:rPr>
              <w:t>指标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b/>
                <w:sz w:val="21"/>
              </w:rPr>
              <w:t>数值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项目2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星空学期学院拨款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1200元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项目2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青禾2026年9月超支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1390元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项目3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摄影设备现金价；分期方案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6000元；12期，每期550元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项目4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综合练习票据价税合计；税率；不含税；税额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255.85元；13%；226.42元；29.43元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项目4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综合练习票据合计（汇总）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1748.35元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项目5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星空收入、销货成本、费用、利润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470元、193元、70元、207元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项目5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青禾收入、销货成本、费用、利润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6050元、2940元、200元、2910元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项目5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星空保本销售量：书签、柠檬水、笔记本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140个、88杯、172本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项目6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星空笔记本：原值、残值、年限、年折旧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4800元、240元、4年、1140元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项目6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青禾电脑6台：原值、残值、年限、年折旧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30000元、1200元、3年、9600元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项目7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星空勤工收入：时薪×时数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12元×80小时＝960元（免税）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项目7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青禾王涛10月：应发、社保公积金、专项附加扣除、应纳税所得额、税率、税额、实发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8400元、1050元、1000元、1350元、3%、40.5元、7309.5元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项目8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星空9月清洗后收入、支出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2040元、599.5元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项目8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青禾10月清洗后收入、支出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11750元、7200元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项目9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星空学期收入：预算、实际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2100元、2040元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项目9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星空学期支出：预算、实际；结余；结余率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1840元、1788元；252元；12.4%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项目9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青禾10月结余；结余率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4550元；38.7%</w:t>
            </w:r>
          </w:p>
        </w:tc>
      </w:tr>
      <w:tr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项目10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星空支出；青禾10月支出、收入、结余</w:t>
            </w:r>
          </w:p>
        </w:tc>
        <w:tc>
          <w:tcPr>
            <w:tcW w:type="dxa" w:w="2771"/>
          </w:tcPr>
          <w:p>
            <w:r/>
            <w:r>
              <w:rPr>
                <w:rFonts w:ascii="Times New Roman" w:hAnsi="Times New Roman"/>
                <w:sz w:val="21"/>
              </w:rPr>
              <w:t>1788元；7200元、11750元、4550元</w:t>
            </w:r>
          </w:p>
        </w:tc>
      </w:tr>
    </w:tbl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十一、现状（2026-10-29）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教材文件：项目1 v6、项目2 v7、项目3 v6、项目4 v8、项目5 v5、项目6 v4、项目7 v3、项目8 v5、项目9 v3、项目10 v4、项目11 v1、项目12 v1、项目13 v1。写作规则 v2。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项目13 已采用思政园地AI情境框、任务小结、项目综合练习与法规索引表。</w:t>
      </w:r>
    </w:p>
    <w:p>
      <w:pPr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sz w:val="28"/>
        </w:rPr>
        <w:t xml:space="preserve">十二、待办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图7-2 人物改为小韩形象（按第八节），图8-2、图9-2 等核对人物外貌。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>• 第十节数值已与各项目逐项核对一致（项目8 的9月收入2040元即为学期收入，均于9月到账；会费缺口统一为3名社员、每人20元）。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sz w:val="24"/>
        </w:rPr>
        <w:t xml:space="preserve">• 项目1–7 版式渲染核对；项目8 扩写稿 exp8d 未运行。</w:t>
      </w: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