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240"/>
        <w:jc w:val="center"/>
      </w:pPr>
      <w:r>
        <w:rPr>
          <w:rFonts w:ascii="Times New Roman" w:hAnsi="Times New Roman" w:cs="Times New Roman" w:eastAsia="黑体"/>
          <w:b/>
          <w:sz w:val="32"/>
        </w:rPr>
        <w:t>写作规则（全书统一）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一、全书定位与读者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教材面向高职学生，会计与非会计专业（含全校选修）。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项目化：模块 → 项目 → 任务。每项目3个任务；项目1为导论，不计模块。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字数：项目2、3约1.2–1.5万字；项目4为1.5–2万字。写作要有实际价值，不为凑字数写空话；每段要服务于本任务的核心概念或操作。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主线：校园一学期社团财务（校园线，星空读书会）为主，职业线（虚构小微企业青禾文具）延伸，两线成对出现。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二、项目与任务结构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项目标题：以“从一件生活事说起：财务词”形式，含生活词与财务词，不写“AI”。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任务标题：写AI用途，如“用AI完成分类”。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每任务一个核心概念，一处思政园地。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任务内顺序：导入（校园线 / 职业线成对）→ 一、二、三…专业知识（【通识】【拓展】标注）→ AI操作 → 回到案例 → 常见误区 → 思政园地 → 【练习】→ 小结。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【拓展】放在项目末尾，并标注选学；会计深入内容只放拓展。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项目末尾：项目总结（不写“项目小结”），含表格核心概念与做法，以及本项目知识图谱。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学习目标：用思维导图展示（图x-1）。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三、法规规则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其他项目正文不引用法规。法规集中到独立任务（任务13.3）与附录索引表。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法规只写真实、可核实的条文。无法核实即删。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索引表四列：名称、发文机关与文号、发布与修订情况、条文编号。不写核实日期或内部说明。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可设计学生用AI核实条文的练习，以官方原文为准。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四、版式（全书统一，不得按项目变化）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纸张：A4；页边距左右3.17cm，上下2.54cm；页脚居中页码（宋体9pt）。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正文：宋体小四（12pt），固定行距20磅，首行缩进2字符，段前段后0。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一级标题（项目标题）：黑体三号（16pt）居中。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二级标题（任务标题、模块标题）：黑体四号（14pt）。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三级标题（小节）：黑体小四加粗。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表题：黑体五号（10.5pt）居中，位于表上方，格式“表x-y 标题”。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表格：宋体五号（10.5pt），单倍行距，表头加粗居中，网格边框。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西文：Times New Roman。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图片：锚定式，环绕方式为上下型（wrapTopAndBottom），段落居中。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图注：紧跟图片下方，宋体五号，居中，格式“图x-y 说明”。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五、图的规则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编号：图x-y，按出现顺序连续编号。项目末的知识图谱编号排在最后。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类型：按内容选择。本书常用：思维导图（学习目标）、知识图谱（项目总结）、饼图、柱状图、折线图、流程图、时间线图、表格不作图。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样式（全部图统一，不得每项目一套）：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配色：深藏青 #1F3A5F（中心节点与任务节点，白字），浅蓝云朵底 #EAF1F8（任务所在区域），节点底 #E8F0F8（深藏青边框，深字）；连线浅灰 #9AA8B8（实线为主干，虚线为交叉关系并标注关系词）。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字体：Noto Sans SC（思源黑体）常规字重；字号统一。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白底，无标题文字（标题由正文图注承担）。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知识图谱：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云朵状发散网状结构，中心节点为本项目名称；每个任务为一朵浅蓝云，内含任务节点与知识点节点。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不得画成矩阵、分列网格或树形；连线需闭合并标注关系。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名称统一为“知识图谱”；图注格式“图x-y 本项目知识图谱”。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学习目标思维导图（必须是树形卡片样式，不是知识图谱）：顶部为深藏青标题框（“项目名（项目N）”，白字）；下面三列卡片，依次为知识目标、能力目标、素养目标；每列卡片顶部为浅蓝标题栏（#E8F0F8，深藏青字），下面用“•”列出三条要点。连线为深藏青直角折线。参照 图2-1、图4-1；绘图函数为 kgstyle.mindmap_cards()。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知识图谱（项目总结）：云朵式网状结构，与思维导图样式严格区分，不得混用。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其他图（饼图、柱状图、折线图、流程图）：也用上述配色；流程图框线与箭头统一，不得出现文字溢出或回环箭头遮挡。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人物场景图：每个项目至少一张，放在第一个任务“导入”之后，用于交代生活场景。图中出现的命名人物，外貌须与第八节设定一致；主角为小何。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流程图（参照图4-7）：白底，蓝色圆角框（#2E6DB4），判断框为琥珀色菱形（#B07A1E，填充#FFF7E6），箭头深灰（#4A5568），“是/否”标注在分支线上。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数据图（饼图、柱状图、折线图）：深藏青（#1F3A5F）为主色，浅蓝（#9CB8D6、#6F8FB5）为辅色，去掉上方和右侧边框，网格线浅灰。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生成图的代码统一保存在 /home/user/tools/kgstyle.py（绘图样式库），图表脚本见 /home/user/tools/src/fig3_v2.py。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六、生成与文件管理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所有内容存入“AI大模型在财务场景的应用/”文件夹；仓库只上传Word（.docx）与图片（.png），不上传md等源稿。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文档名带版本序号：如“项目3_范例_v2.docx”。同版本可覆盖；新版本另起序号，旧版删除（git rm）。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生成工具统一为 /home/user/tools/book_docx.py：源稿（md格式，仅作标记用）→ docx。所有项目必须用该工具生成，不得各写一套。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源稿放在 /tmp/pN/ 或 /home/user/tools/src/（工作区，不入库）。注意 /tmp 可能被重置，重要源稿应备份到 /home/user/tools/src/。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Word只写适合交给编辑的内容，不写版本号、状态、内部说明、“样章”等字样。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七、写作禁忌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项目标题不写“AI”（导论除外）。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模块标题不带场景词。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不写内部说明、待确认字样、版本记录。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不编造数据、字数、出版时间、市场调研数据。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工具截图与操作步骤需标注版本与查询日期。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政策引用须依法核实，出版前复核。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 xml:space="preserve">八、人物设定（全书统一，文字与图片必须一致）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• 原则：每个有名有姓的人物，全书只有一种身份、一套外貌描述。图中出现的命名人物，外貌必须与本节描述相符。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• 未命名的路人（如“社员”“同学”）不得复用主角外貌，应另行描述，且不得与本节人物相同。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• 生成人物图时，提示词直接引用本节的外貌描述，不另起描述。图注须写明人物名字，与正文一致。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• 星空读书会：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  – 小何｜星空读书会财务干事，全书配图主角。外貌：年轻女大学生，肩长黑发、黄色发夹、圆框眼镜、浅蓝连帽衫、蓝色牛仔裤、白色运动鞋。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  – 李想想｜星空读书会社长（男），负责审批与决策。外貌：短平头，深灰色夹克，白色T恤，深色休闲裤。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  – 小韩｜星空读书会社员，学院图书馆勤工俭学学生（女），与财务工作无直接职责。外貌：齐肩栗色卷发，不戴眼镜，米色针织开衫，深蓝色长裤，红色帆布包，棕色帆布鞋。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• 青禾文具：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  – 陈静｜财务主管（女），负责审核与把关，是孙悦、小周的直接上级。外貌：齐耳深棕短发，方框眼镜，深灰色西装外套，白色衬衫。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  – 孙悦｜实习生（女），负责整理票据与初步核对，向陈静汇报。外貌：及肩马尾，米色毛衣，灰色长裤，手持笔记本。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  – 小周｜财务助理（女），负责记账与报销，向陈静汇报。外貌：齐耳黑色短发，浅绿色衬衫，黑色长裤，手持计算器。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  – 王涛｜销售部员工（男），项目7职业线工资条的当事人。外貌：平头，格子衬衫，深色长裤。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  – 赵敏｜行政部员工，负责资产库房与台账的实物管理。外貌：中长直发，灰色针织衫，黑色长裙。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• 未命名人物（社员、同学、员工等）使用下列固定外貌模板，每个模板在全书只对应一张图，且不得与第八节的命名人物相似（不戴眼镜，不用小何的长黑发与连帽衫，不用小韩的卷发与开衫，不用孙悦的马尾，不用陈静的深棕短发）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  – 模板A｜男，黑色中短发（自然蓬松），米色短袖衬衫，卡其色长裤，白色运动鞋。（图1-2）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  – 模板B｜女，齐肩直发，棕色，橙色针织背心，白色衬衫，浅色长裙。（图2-2）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  – 模板C｜男，侧分短发，深棕色，白色衬衫，深灰色针织马甲，深蓝色长裤。（图3-2）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  – 模板D｜女，丸子头，粉色卫衣，灰色九分裤。（图3-5）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  – 模板E｜男，平头，红色羽绒马甲，黑色长裤。（图4-3）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  – 模板F｜女，齐刘海短发，紫色毛衣，牛仔短裙。（图4-4）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  – 模板G｜男，短卷发，深绿色polo衫，卡其色长裤。（图5-2）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  – 模板H｜女，短发配浅色发带，黄色衬衫，黑色西裤。（图6-2）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• 人物图风格（全书统一，不分校园线与职业线）：线描扁平，柔和淡色，白底，无文字；同一画面只出现一个主要人物；与小何配图（图8-2 等）为同一风格。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 xml:space="preserve">九、机构与背景（全书统一）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• 星空读书会：某高校学生社团（阅读类），挂靠学院。社长李想想，财务干事小何。主要活动：读书分享会、校园文化节义卖、海报宣传。经费来源：学院拨款与社员活动收入。财务口径：收入按实际到账，支出按实际付款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• 青禾文具：虚构小微企业，经营文具与礼品。财务主管陈静，实习生孙悦，财务助理小周，销售部王涛，行政部赵敏。财务口径与星空一致；利润＝收入－销货成本－费用。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• 校园线与职业线成对出现：同一知识点，校园线使用星空的数据，职业线使用青禾的数据；两线数据互不混用。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 xml:space="preserve">十、核心数据（全书统一，修改任何数字须同步全部出处）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b/>
                <w:sz w:val="21"/>
              </w:rPr>
              <w:t>指标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b/>
                <w:sz w:val="21"/>
              </w:rPr>
              <w:t>数值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项目2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星空学期学院拨款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1200元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项目2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青禾2026年9月超支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1390元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项目3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摄影设备现金价；分期方案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6000元；12期，每期550元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项目4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综合练习票据价税合计；税率；不含税；税额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255.85元；13%；226.42元；29.43元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项目4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综合练习票据合计（汇总）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1748.35元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项目5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星空收入、销货成本、费用、利润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470元、193元、70元、207元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项目5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青禾收入、销货成本、费用、利润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6050元、2940元、200元、2910元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项目5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星空保本销售量：书签、柠檬水、笔记本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140个、88杯、172本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项目6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星空笔记本：原值、残值、年限、年折旧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4800元、240元、4年、1140元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项目6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青禾电脑6台：原值、残值、年限、年折旧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30000元、1200元、3年、9600元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项目7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星空勤工收入：时薪×时数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12元×80小时＝960元（免税）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项目7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青禾王涛10月：应发、社保公积金、专项附加扣除、应纳税所得额、税率、税额、实发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8400元、1050元、1000元、1350元、3%、40.5元、7309.5元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项目8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星空9月清洗后收入、支出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2040元、599.5元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项目8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青禾10月清洗后收入、支出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11750元、7200元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项目9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星空学期收入：预算、实际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2100元、2040元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项目9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星空学期支出：预算、实际；结余；结余率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1840元、1788元；252元；12.4%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项目9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青禾10月结余；结余率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4550元；38.7%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项目10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星空支出；青禾10月支出、收入、结余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/>
                <w:sz w:val="21"/>
              </w:rPr>
              <w:t>1788元；7200元、11750元、4550元</w:t>
            </w:r>
          </w:p>
        </w:tc>
      </w:tr>
    </w:tbl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 xml:space="preserve">十一、现状（2026-10-29）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教材文件：项目1 v6、项目2 v7、项目3 v6、项目4 v8、项目5 v5、项目6 v4、项目7 v3、项目8 v5、项目9 v3、项目10 v4、项目11 v1、项目12 v1、项目13 v1。写作规则 v2。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• 项目13 已采用思政园地AI情境框、任务小结、项目综合练习与法规索引表。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 xml:space="preserve">十二、待办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• 图7-2 已改为小韩形象；图9-2、10-2、11-2、12-2、13-2、8-2 已核对为小何。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第十节数值已与各项目逐项核对一致（项目8 的9月收入2040元即为学期收入，均于9月到账；会费缺口统一为3名社员、每人20元）。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 xml:space="preserve">• 版式渲染需在Word中抽查（本环境无法渲染）；项目8 扩写按用户要求取消。项目1–13 综合练习已改为提供示例数据。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