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</w: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本教材是 OPC 通识教育类教材，面向在校大学生和初入职场人员，适用于全校各专业。OPC 即“人工智能+创新创业”。本教材以职业素养为主线，把 AI 工具使用放在求职、入职与创业的真实情境中，培养学生负责任地运用大模型与智能体完成职业任务的能力。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对接冀教高函〔2026〕45号文件：一是落实“通识课须帮助学生掌握大模型基本原理、AI工具使用方法、智能体开发基础知识”的要求，第1、3至5项目讲解大模型原理与局限，训练AI工具与低代码智能体的使用；二是落实“课程+训练+实战”进阶模式，第1至4项目为课程，第5至10项目为训练，第11至13项目为实战；三是落实“推广AI+项目式教学”和“校企联合编写活页式、案例式、数字化新形态教材”的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融合路径：每个项目由 AI 承担识别与分析，学生承担评价与应用，并留下可追溯的记录。内容覆盖三条主线：一是求职与就业中的诚信与合规（招聘诈骗识别、简历真实性、模拟面试）；二是职场中的数据保密、内容标注与成果权属；三是创业中的团队协作、问责与合规规则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内容依据：《生成式人工智能服务管理暂行办法》（2023年8月15日施行）要求处理知识产权和个人信息时合规，本书以此作为讨论 AI 使用边界的依据；《互联网信息服务深度合成管理规定》（2023年1月10日施行）涉及 AI 生成内容标注，用于第7项目；《中华人民共和国反电信网络诈骗法》（2022年12月1日施行）用于第2项目的招聘诈骗识别；华东师范大学《生成式人工智能学生使用指南》（2024年8月）要求标注 AI 直接生成内容，作为第8项目的案例依据。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大模型与提示词：</w:t>
            </w:r>
            <w:r>
              <w:rPr>
                <w:b w:val="0"/>
                <w:sz w:val="21"/>
              </w:rPr>
              <w:t>讲解大模型基本原理与局限，训练结构化提示词，用于面试模拟、简历润色和岗位分析（第3、4、5项目）。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智能体开发（低代码）：</w:t>
            </w:r>
            <w:r>
              <w:rPr>
                <w:b w:val="0"/>
                <w:sz w:val="21"/>
              </w:rPr>
              <w:t>在低代码平台配置“面试陪练”“工作日志”智能体，设置触发条件和需人工确认的步骤，学生不编写代码（第4、11项目）。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RAG 知识库：</w:t>
            </w:r>
            <w:r>
              <w:rPr>
                <w:b w:val="0"/>
                <w:sz w:val="21"/>
              </w:rPr>
              <w:t>将学校保密制度、内容标注规则和一人公司合规要求整理为知识库，智能体回答须给出出处，学生核对出处是否准确（第6、7、13项目）。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4. 多模态识别：</w:t>
            </w:r>
            <w:r>
              <w:rPr>
                <w:b w:val="0"/>
                <w:sz w:val="21"/>
              </w:rPr>
              <w:t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5. 工作流编排：</w:t>
            </w:r>
            <w:r>
              <w:rPr>
                <w:b w:val="0"/>
                <w:sz w:val="21"/>
              </w:rPr>
              <w:t>串联“收集资料—AI整理—人工核验—记录”环节（第10、13项目）。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案例来源：</w:t>
            </w:r>
            <w:r>
              <w:rPr>
                <w:sz w:val="21"/>
              </w:rPr>
              <w:t>案例覆盖行政、销售、工程、建设、咨询、财税等多个行业，均为脱敏改写的真实工作情境。学生将参与真实文档的整理与标注任务，案例数据经合作方书面授权。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法律审核：</w:t>
            </w:r>
            <w:r>
              <w:rPr>
                <w:sz w:val="21"/>
              </w:rPr>
              <w:t>邀请一名执业律师（合伙人）审核第9项目“AI成果权属”和第13项目“AI创业合规”中的条款与规则。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校企合作：</w:t>
            </w:r>
            <w:r>
              <w:rPr>
                <w:sz w:val="21"/>
              </w:rPr>
              <w:t>合作企业已同意派出人员参与，提供多行业的脱敏案例，并核对第6、7、9、12、13项目的业务场景与规则。律师已同意参与第9、13项目的审核。教材案例与内容由主编编写。第2至5、8、11项目依据公开的招聘、劳动合规与留痕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关键词：</w:t>
            </w:r>
            <w:r>
              <w:rPr>
                <w:b w:val="0"/>
                <w:sz w:val="21"/>
              </w:rPr>
              <w:t>职业素养　AI责任　就业创业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理由简述：</w:t>
            </w:r>
            <w:r>
              <w:rPr>
                <w:b w:val="0"/>
                <w:sz w:val="21"/>
              </w:rPr>
              <w:t>全书围绕学生求职、入职和创业中的真实情境，AI 承担识别、整理和模拟，学生负责判断、核实并承担结果责任，学习成果以可交付的记录表呈现。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全书13个项目，建议48学时。每个项目按“提出问题—AI处理—人工核验—留痕”组织。理论讲解每个项目不超过1学时，其余为操作与核验。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 AI责任边界（4学时）：</w:t>
            </w:r>
            <w:r>
              <w:rPr>
                <w:b w:val="0"/>
                <w:sz w:val="21"/>
              </w:rPr>
              <w:t>AI讲解大模型原理与局限，列出可委托任务；学生判断哪些必须本人负责。留痕：任务责任表。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项目2 AI招聘陷阱（4学时）：</w:t>
            </w:r>
            <w:r>
              <w:rPr>
                <w:b w:val="0"/>
                <w:sz w:val="21"/>
              </w:rPr>
              <w:t>AI标注招聘文本中的可疑特征；学生核实企业信息，判断可信度。留痕：招聘核验表。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项目3 AI简历优化（3学时）：</w:t>
            </w:r>
            <w:r>
              <w:rPr>
                <w:b w:val="0"/>
                <w:sz w:val="21"/>
              </w:rPr>
              <w:t>AI润色语句，并标出与原始经历不符之处；学生核对每条表述的事实依据。留痕：简历与依据对照表。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项目4 AI模拟面试（4学时）：</w:t>
            </w:r>
            <w:r>
              <w:rPr>
                <w:b w:val="0"/>
                <w:sz w:val="21"/>
              </w:rPr>
              <w:t>AI扮演面试官提问并给出反馈；学生判断反馈是否合理，修改回答。留痕：面试复盘表。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项目5 AI岗位分析（4学时）：</w:t>
            </w:r>
            <w:r>
              <w:rPr>
                <w:b w:val="0"/>
                <w:sz w:val="21"/>
              </w:rPr>
              <w:t>AI提取岗位要求的关键词与能力项；学生对照个人经历，制定能力补足计划。留痕：能力差距表。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项目6 AI数据保密（3学时）：</w:t>
            </w:r>
            <w:r>
              <w:rPr>
                <w:b w:val="0"/>
                <w:sz w:val="21"/>
              </w:rPr>
              <w:t>AI依据保密制度知识库标注敏感字段并给出出处；学生确定哪些信息不得输入AI工具。留痕：保密清单。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项目7 AI内容标注（4学时）：</w:t>
            </w:r>
            <w:r>
              <w:rPr>
                <w:b w:val="0"/>
                <w:sz w:val="21"/>
              </w:rPr>
              <w:t>AI依据标注规则知识库检查是否标注AI生成内容并给出出处；学生核实来源并补充标注。留痕：标注核对表。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项目8 AI使用留痕（3学时）：</w:t>
            </w:r>
            <w:r>
              <w:rPr>
                <w:b w:val="0"/>
                <w:sz w:val="21"/>
              </w:rPr>
              <w:t>AI整理一次任务中的使用记录；学生对照学校规定核对记录完整性。留痕：使用记录表。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项目9 AI成果权属（3学时）：</w:t>
            </w:r>
            <w:r>
              <w:rPr>
                <w:b w:val="0"/>
                <w:sz w:val="21"/>
              </w:rPr>
              <w:t>AI检索相似作品并列出相似点；学生判断权利边界，确定署名与归属。留痕：权属说明表。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项目10 AI团队协作（4学时）：</w:t>
            </w:r>
            <w:r>
              <w:rPr>
                <w:b w:val="0"/>
                <w:sz w:val="21"/>
              </w:rPr>
              <w:t>AI整理会议纪要与待办事项；学生核对分工与权限，确认责任人。留痕：分工与纪要表。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项目11 AI工作日志（4学时）：</w:t>
            </w:r>
            <w:r>
              <w:rPr>
                <w:b w:val="0"/>
                <w:sz w:val="21"/>
              </w:rPr>
              <w:t>AI汇总一周工作日志；学生核对实际工作，修正遗漏。留痕：工作日志表。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项目12 AI错误问责（4学时）：</w:t>
            </w:r>
            <w:r>
              <w:rPr>
                <w:b w:val="0"/>
                <w:sz w:val="21"/>
              </w:rPr>
              <w:t>AI找出输出中的错误并说明原因；学生判断影响范围，撰写更正说明。留痕：更正说明。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项目13 AI创业合规（4学时）：</w:t>
            </w:r>
            <w:r>
              <w:rPr>
                <w:b w:val="0"/>
                <w:sz w:val="21"/>
              </w:rPr>
              <w:t>AI依据合规知识库生成规则草稿并标注每条出处；学生核对相关要求，确定使用规则。留痕：使用规则手册。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合计：</w:t>
            </w:r>
            <w:r>
              <w:rPr>
                <w:b w:val="0"/>
                <w:sz w:val="21"/>
              </w:rPr>
              <w:t>48学时。课程（1至4项目）、训练（5至10项目）、实战（11至13项目）三阶段进阶。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体例：</w:t>
            </w:r>
            <w:r>
              <w:rPr>
                <w:b w:val="0"/>
                <w:sz w:val="21"/>
              </w:rPr>
              <w:t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活页式与项目式：</w:t>
            </w:r>
            <w:r>
              <w:rPr>
                <w:b w:val="0"/>
                <w:sz w:val="21"/>
              </w:rPr>
              <w:t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案例式：</w:t>
            </w:r>
            <w:r>
              <w:rPr>
                <w:b w:val="0"/>
                <w:sz w:val="21"/>
              </w:rPr>
              <w:t>每个项目以求职、入职或创业中的真实情境为原型，案例数据脱敏，注明来源与授权。热点案例（如招聘诈骗、AI生成虚假内容）只作为案例层，每年更新。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创新特色：</w:t>
            </w:r>
            <w:r>
              <w:rPr>
                <w:b w:val="0"/>
                <w:sz w:val="21"/>
              </w:rPr>
              <w:t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课程—训练—实战进阶：</w:t>
            </w:r>
            <w:r>
              <w:rPr>
                <w:b w:val="0"/>
                <w:sz w:val="21"/>
              </w:rPr>
              <w:t>第1至4项目为课程，学习职业责任边界、求职材料与面试；第5至10项目为训练，完成岗位分析、保密、标注、权属与团队协作；第11至13项目为实战，完成工作日志、问责与创业合规的综合任务。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在线课程：</w:t>
            </w:r>
            <w:r>
              <w:rPr>
                <w:b w:val="0"/>
                <w:sz w:val="21"/>
              </w:rPr>
              <w:t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可听：</w:t>
            </w:r>
            <w:r>
              <w:rPr>
                <w:b w:val="0"/>
                <w:sz w:val="21"/>
              </w:rPr>
              <w:t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可视：</w:t>
            </w:r>
            <w:r>
              <w:rPr>
                <w:b w:val="0"/>
                <w:sz w:val="21"/>
              </w:rPr>
              <w:t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可练：</w:t>
            </w:r>
            <w:r>
              <w:rPr>
                <w:b w:val="0"/>
                <w:sz w:val="21"/>
              </w:rPr>
              <w:t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可互动：</w:t>
            </w:r>
            <w:r>
              <w:rPr>
                <w:b w:val="0"/>
                <w:sz w:val="21"/>
              </w:rPr>
              <w:t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模板资源：</w:t>
            </w:r>
            <w:r>
              <w:rPr>
                <w:b w:val="0"/>
                <w:sz w:val="21"/>
              </w:rPr>
              <w:t>核验表、留痕表、规则手册的电子版模板。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2026年10月底前：</w:t>
            </w:r>
            <w:r>
              <w:rPr>
                <w:sz w:val="21"/>
              </w:rPr>
              <w:t>确定教材大纲和13个项目的任务情境，初步接洽校外合作单位。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2026年11月15日前：</w:t>
            </w:r>
            <w:r>
              <w:rPr>
                <w:sz w:val="21"/>
              </w:rPr>
              <w:t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2026年11月25日前：</w:t>
            </w:r>
            <w:r>
              <w:rPr>
                <w:sz w:val="21"/>
              </w:rPr>
              <w:t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入选后第1至3个月：</w:t>
            </w:r>
            <w:r>
              <w:rPr>
                <w:sz w:val="21"/>
              </w:rPr>
              <w:t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入选后第4至5个月：</w:t>
            </w:r>
            <w:r>
              <w:rPr>
                <w:sz w:val="21"/>
              </w:rPr>
              <w:t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入选后第6至7个月：</w:t>
            </w:r>
            <w:r>
              <w:rPr>
                <w:sz w:val="21"/>
              </w:rPr>
              <w:t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入选后第8个月：</w:t>
            </w:r>
            <w:r>
              <w:rPr>
                <w:sz w:val="21"/>
              </w:rPr>
              <w:t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单位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编写分工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备注（企业/校内/</w:t>
            </w: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行业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校内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中级会计师、中级工程师、一级建造师、一级工程咨询师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提供财税、工程、建设、咨询等多行业的脱敏案例，核对第6、7、9、12、13项目的业务场景与规则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审核第9、13项目的法律条款与规则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