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3"/>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cx="5220000" cy="3262500"/>
            <wp:effectExtent l="0" t="0" r="0" b="0"/>
            <wp:wrapTopAndBottom/>
            <wp:docPr id="1" name="Picture 1"/>
            <wp:cNvGraphicFramePr xmlns:a="http://schemas.openxmlformats.org/drawingml/2006/main">
              <a:graphicFrameLocks noChangeAspect="1"/>
            </wp:cNvGraphicFramePr>
          </wp:anchor>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 xml:space="preserve">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起点，也是日后解释数字的唯一依据。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cx="4140000" cy="2258182"/>
            <wp:effectExtent l="0" t="0" r="0" b="0"/>
            <wp:wrapTopAndBottom/>
            <wp:docPr id="2" name="Picture 2"/>
            <wp:cNvGraphicFramePr xmlns:a="http://schemas.openxmlformats.org/drawingml/2006/main">
              <a:graphicFrameLocks noChangeAspect="1"/>
            </wp:cNvGraphicFramePr>
          </wp:anchor>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p>
    <w:p>
      <w:pPr>
        <w:pStyle w:val="Heading3"/>
      </w:pPr>
      <w:r>
        <w:t>一、票据与业务资料的种类</w:t>
      </w:r>
    </w:p>
    <w:p>
      <w:r>
        <w:t xml:space="preserve">票据是交易发生的证据，业务资料是解释交易的材料。常见的票据包括发票、收据、银行回单和小票；业务资料包括合同、报价单、审批单和活动说明。两者缺一不可：有票据而无业务说明，无法判断用途；有说明而无票据，无法证明金额。</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三、完整性检查：信息缺一不可</w:t>
      </w:r>
    </w:p>
    <w:p>
      <w:r>
        <w:t xml:space="preserve">每张票据至少应能回答五个问题：何时发生、与谁发生、金额多少、为什么发生、凭证由谁经手。如果某一项缺失，应当在台账中标注“待补充”，并尽快向经办人核实，而不能凭印象补写。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四、AI操作：用大模型生成票据清单，并逐项核对</w:t>
      </w:r>
    </w:p>
    <w:p>
      <w:r>
        <w:t xml:space="preserve">把一个月的票据照片或文字说明交给大模型，要求它按日期、摘要、金额、票据类型和用途整理成表格，并把信息不完整的条目单独列出。</w:t>
      </w:r>
    </w:p>
    <w:p>
      <w:r>
        <w:t xml:space="preserve">核对时，应逐张回到原始票据：金额是否一致，日期是否与业务相符，用途是否有合同或审批单支持。对于大模型无法识别或推测的内容，应明确要求它标注“待核实”，而不是补充一个看似合理的答案。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p>
    <w:p>
      <w:pPr>
        <w:pStyle w:val="Heading3"/>
      </w:pPr>
      <w:r>
        <w:t>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四、AI操作：让AI汇总收支表，并核对每个合计</w:t>
      </w:r>
    </w:p>
    <w:p>
      <w:r>
        <w:t xml:space="preserve">把整理好的流水交给大模型，要求它按类别汇总收入和支出，并列出算式。对于每一个合计数，都要求它标明由哪些条目相加得到。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五、回到案例</w:t>
      </w:r>
    </w:p>
    <w:p>
      <w:r>
        <w:t xml:space="preserve">星空读书会的小何在汇总学期支出时，发现大模型给出的支出合计比人工计算少了六十元。她逐条核对后发现，一笔场地押金被大模型当作“已退还”而漏计。她重新查阅合同，确认押金尚未退还，于是在收支表中将其列为“待退还款项”，并在备注中说明。</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r>
        <w:t xml:space="preserve">青禾文具的小周在编制十月收支表时，把一笔快递费与采购费放在了同一行。陈静指出，快递费属于销售相关费用，应单独列示。小周调整后重新汇总，结果发现销售费用比预期高出近两成，于是开始分析原因。这说明，分类的细微差异，也会影响管理者的判断。</w:t>
      </w:r>
    </w:p>
    <w:p>
      <w:pPr>
        <w:pStyle w:val="Heading3"/>
      </w:pPr>
      <w:r>
        <w:t>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r>
        <w:t>【练习】</w:t>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p>
    <w:p>
      <w:pPr>
        <w:pStyle w:val="Heading3"/>
      </w:pPr>
      <w:r>
        <w:t>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 xml:space="preserve">本项目中的图表都应当经得起检验：坐标轴从零开始，颜色只用于区分类别，图注写明口径。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四、AI操作：让AI生成经营说明初稿，并逐句核对数字</w:t>
      </w:r>
    </w:p>
    <w:p>
      <w:r>
        <w:t xml:space="preserve">把收支表和分析结论交给大模型，要求它写出一段经营说明，每个数字都必须注明来源。要求它不使用无法解释的专业术语，并列出所有使用的数字。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p>
    <w:p>
      <w:pPr>
        <w:pStyle w:val="Heading3"/>
      </w:pPr>
      <w:r>
        <w:t>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四、AI操作：用大模型辅助复核与复盘，并保留人工结论</w:t>
      </w:r>
    </w:p>
    <w:p>
      <w:r>
        <w:t xml:space="preserve">把本学期的复核清单和修改记录交给大模型，要求它归纳出高频错误，并提出三条改进建议。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cx="5400000" cy="3375000"/>
            <wp:effectExtent l="0" t="0" r="0" b="0"/>
            <wp:wrapTopAndBottom/>
            <wp:docPr id="3" name="Picture 3"/>
            <wp:cNvGraphicFramePr xmlns:a="http://schemas.openxmlformats.org/drawingml/2006/main">
              <a:graphicFrameLocks noChangeAspect="1"/>
            </wp:cNvGraphicFramePr>
          </wp:anchor>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 xml:space="preserve">本练习使用本书已有的两组示例数据：星空读书会的学期收支，以及青禾文具2026年10月的收支。所有数据均为教学示例，学生无需收集资料，只需依据材料完成下列任务。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pPr>
        <w:pStyle w:val="Heading3"/>
      </w:pPr>
      <w:r>
        <w:t xml:space="preserve">任务要求</w:t>
      </w:r>
    </w:p>
    <w:p>
      <w:r>
        <w:t xml:space="preserve">1.票据整理（20分）：根据前述数据，列出你需要整理的票据和业务资料清单，写出编号规则，并说明至少三类缺失项及处理办法。</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 xml:space="preserve">表14-3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