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400" w:before="0" w:after="240"/>
        <w:jc w:val="center"/>
      </w:pPr>
      <w:r>
        <w:rPr>
          <w:rFonts w:ascii="Times New Roman" w:hAnsi="Times New Roman" w:cs="Times New Roman" w:eastAsia="黑体"/>
          <w:b/>
          <w:sz w:val="32"/>
        </w:rPr>
        <w:t>写作规则（全书统一）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一、全书定位与读者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教材面向高职学生，会计与非会计专业（含全校选修）。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项目化：模块 → 项目 → 任务。每项目3个任务；项目1为导论，不计模块。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字数：项目2、3约1.2–1.5万字；项目4为1.5–2万字。写作要有实际价值，不为凑字数写空话；每段要服务于本任务的核心概念或操作。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主线：校园一学期社团财务（校园线，星空读书会）为主，职业线（虚构小微企业青禾文具）延伸，两线成对出现。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二、项目与任务结构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项目标题：以“从一件生活事说起：财务词”形式，含生活词与财务词，不写“AI”。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任务标题：写AI用途，如“用AI完成分类”。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每任务一个核心概念，一处思政园地。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任务内顺序：导入（校园线 / 职业线成对）→ 一、二、三…专业知识（【通识】【拓展】标注）→ AI操作 → 回到案例 → 常见误区 → 思政园地 → 【练习】→ 小结。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【拓展】放在项目末尾，并标注选学；会计深入内容只放拓展。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项目末尾：项目总结（不写“项目小结”），含表格核心概念与做法，以及本项目知识图谱。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学习目标：用思维导图展示（图x-1）。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三、法规规则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其他项目正文不引用法规。法规集中到独立任务（任务13.3）与附录索引表。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法规只写真实、可核实的条文。无法核实即删。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索引表四列：名称、发文机关与文号、发布与修订情况、条文编号。不写核实日期或内部说明。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可设计学生用AI核实条文的练习，以官方原文为准。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四、版式（全书统一，不得按项目变化）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纸张：A4；页边距左右3.17cm，上下2.54cm；页脚居中页码（宋体9pt）。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正文：宋体小四（12pt），固定行距20磅，首行缩进2字符，段前段后0。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一级标题（项目标题）：黑体三号（16pt）居中。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二级标题（任务标题、模块标题）：黑体四号（14pt）。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三级标题（小节）：黑体小四加粗。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表题：黑体五号（10.5pt）居中，位于表上方，格式“表x-y 标题”。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表格：宋体五号（10.5pt），单倍行距，表头加粗居中，网格边框。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西文：Times New Roman。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图片：锚定式，环绕方式为上下型（wrapTopAndBottom），段落居中。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图注：紧跟图片下方，宋体五号，居中，格式“图x-y 说明”。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五、图的规则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编号：图x-y，按出现顺序连续编号。项目末的知识图谱编号排在最后。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类型：按内容选择。本书常用：思维导图（学习目标）、知识图谱（项目总结）、饼图、柱状图、折线图、流程图、时间线图、表格不作图。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样式（全部图统一，不得每项目一套）：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配色：深藏青 #1F3A5F（中心节点与任务节点，白字），浅蓝云朵底 #EAF1F8（任务所在区域），节点底 #E8F0F8（深藏青边框，深字）；连线浅灰 #9AA8B8（实线为主干，虚线为交叉关系并标注关系词）。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字体：Noto Sans SC（思源黑体）常规字重；字号统一。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白底，无标题文字（标题由正文图注承担）。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知识图谱：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云朵状发散网状结构，中心节点为本项目名称；每个任务为一朵浅蓝云，内含任务节点与知识点节点。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不得画成矩阵、分列网格或树形；连线需闭合并标注关系。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名称统一为“知识图谱”；图注格式“图x-y 本项目知识图谱”。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学习目标思维导图（必须是树形卡片样式，不是知识图谱）：顶部为深藏青标题框（“项目名（项目N）”，白字）；下面三列卡片，依次为知识目标、能力目标、素养目标；每列卡片顶部为浅蓝标题栏（#E8F0F8，深藏青字），下面用“•”列出三条要点。连线为深藏青直角折线。参照 图2-1、图4-1；绘图函数为 kgstyle.mindmap_cards()。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知识图谱（项目总结）：云朵式网状结构，与思维导图样式严格区分，不得混用。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其他图（饼图、柱状图、折线图、流程图）：也用上述配色；流程图框线与箭头统一，不得出现文字溢出或回环箭头遮挡。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人物场景图：每个项目至少一张，放在第一个任务“导入”之后，用于交代生活场景。图中出现的命名人物，外貌须与第八节设定一致；主角为小何。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流程图（参照图4-7）：白底，蓝色圆角框（#2E6DB4），判断框为琥珀色菱形（#B07A1E，填充#FFF7E6），箭头深灰（#4A5568），“是/否”标注在分支线上。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数据图（饼图、柱状图、折线图）：深藏青（#1F3A5F）为主色，浅蓝（#9CB8D6、#6F8FB5）为辅色，去掉上方和右侧边框，网格线浅灰。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生成图的代码统一保存在 /home/user/tools/kgstyle.py（绘图样式库），图表脚本见 /home/user/tools/src/fig3_v2.py。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六、生成与文件管理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所有内容存入“AI大模型在财务场景的应用/”文件夹；仓库只上传Word（.docx）与图片（.png），不上传md等源稿。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文档名带版本序号：如“项目3_范例_v2.docx”。同版本可覆盖；新版本另起序号，旧版删除（git rm）。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生成工具统一为 /home/user/tools/book_docx.py：源稿（md格式，仅作标记用）→ docx。所有项目必须用该工具生成，不得各写一套。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源稿放在 /tmp/pN/ 或 /home/user/tools/src/（工作区，不入库）。注意 /tmp 可能被重置，重要源稿应备份到 /home/user/tools/src/。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Word只写适合交给编辑的内容，不写版本号、状态、内部说明、“样章”等字样。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七、写作禁忌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项目标题不写“AI”（导论除外）。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模块标题不带场景词。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不写内部说明、待确认字样、版本记录。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不编造数据、字数、出版时间、市场调研数据。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工具截图与操作步骤需标注版本与查询日期。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政策引用须依法核实，出版前复核。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八、人物设定（全书统一，文字与图片必须一致）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原则：每个有名有姓的人物，全书只有一种身份、一套外貌描述。图中出现的命名人物，外貌必须与本节描述相符。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未命名的路人（如“社员”“同学”）不得复用主角外貌，应另行描述，且不得与本节人物相同。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生成人物图时，提示词直接引用本节的外貌描述，不另起描述。图注须写明人物名字，与正文一致。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星空读书会：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小何｜星空读书会财务干事，全书配图主角。外貌：年轻女大学生，肩长黑发、黄色发夹、圆框眼镜、浅蓝连帽衫、蓝色牛仔裤、白色运动鞋。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李想想｜星空读书会社长（男），负责审批与决策。外貌：短平头，深灰色夹克，白色T恤，深色休闲裤。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小韩｜星空读书会社员，学院图书馆勤工俭学学生（女），与财务工作无直接职责。外貌：齐肩栗色卷发，不戴眼镜，米色针织开衫，深蓝色长裤，红色帆布包，棕色帆布鞋。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青禾文具：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陈静｜财务主管（女），负责审核与把关，是孙悦、小周的直接上级。外貌：齐耳深棕短发，方框眼镜，深灰色西装外套，白色衬衫。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孙悦｜实习生（女），负责整理票据与初步核对，向陈静汇报。外貌：及肩马尾，米色毛衣，灰色长裤，手持笔记本。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小周｜财务助理（女），负责记账与报销，向陈静汇报。外貌：齐耳黑色短发，浅绿色衬衫，黑色长裤，手持计算器。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王涛｜销售部员工（男），项目7职业线工资条的当事人。外貌：平头，格子衬衫，深色长裤。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赵敏｜行政部员工，负责资产库房与台账的实物管理。外貌：中长卷发，灰色针织衫，黑色长裙。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未命名人物（社员、同学、员工等）使用下列固定外貌模板，每个模板在全书只对应一张图，且不得与第八节的命名人物相似（不戴眼镜，不用小何的长黑发与连帽衫，不用小韩的卷发与开衫，不用孙悦的马尾，不用陈静的深棕短发）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模板A｜男，寸头，灰色圆领T恤，卡其色长裤，白色帆布鞋。（图1-2）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模板B｜女，齐肩直发，棕色，橙色针织背心，白色衬衫，浅色长裙。（图2-2）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模板C｜男，中长发扎小辫，黑色格子衬衫，深蓝色工装裤。（图3-2）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模板D｜女，丸子头，粉色卫衣，灰色九分裤。（图3-5）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模板E｜男，平头，红色羽绒马甲，黑色长裤。（图4-3）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模板F｜女，齐刘海短发，紫色毛衣，牛仔短裙。（图4-4）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模板G｜男，光头，绿色polo衫，米色短裤。（图5-2）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模板H｜女，短发配浅色发带，黄色衬衫，黑色西裤。（图6-2）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九、机构与背景（全书统一）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星空读书会：某高校学生社团（阅读类），挂靠学院。社长李想想，财务干事小何。主要活动：读书分享会、校园文化节义卖、海报宣传。经费来源：学院拨款与社员活动收入。财务口径：收入按实际到账，支出按实际付款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青禾文具：虚构小微企业，经营文具与礼品。财务主管陈静，实习生孙悦，财务助理小周，销售部王涛，行政部赵敏。财务口径与星空一致；利润＝收入－销货成本－费用。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校园线与职业线成对出现：同一知识点，校园线使用星空的数据，职业线使用青禾的数据；两线数据互不混用。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十、核心数据（全书统一，修改任何数字须同步全部出处）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b/>
                <w:sz w:val="21"/>
              </w:rPr>
              <w:t>指标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b/>
                <w:sz w:val="21"/>
              </w:rPr>
              <w:t>数值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项目2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星空学期学院拨款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1200元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项目2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青禾2026年9月超支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1390元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项目3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摄影设备现金价；分期方案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6000元；12期，每期550元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项目4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综合练习票据价税合计；税率；不含税；税额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255.85元；13%；226.42元；29.43元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项目4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综合练习票据合计（汇总）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1748.35元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项目5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星空收入、销货成本、费用、利润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470元、193元、70元、207元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项目5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青禾收入、销货成本、费用、利润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6050元、2940元、200元、2910元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项目5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星空保本销售量：书签、柠檬水、笔记本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140个、88杯、172本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项目6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星空笔记本：原值、残值、年限、年折旧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4800元、240元、4年、1140元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项目6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青禾电脑6台：原值、残值、年限、年折旧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30000元、1200元、3年、9600元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项目7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星空勤工收入：时薪×时数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12元×80小时＝960元（免税）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项目7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青禾王涛10月：应发、社保公积金、专项附加扣除、应纳税所得额、税率、税额、实发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8400元、1050元、1000元、1350元、3%、40.5元、7309.5元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项目8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星空9月清洗后收入、支出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2040元、599.5元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项目8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青禾10月清洗后收入、支出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11750元、7200元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星空学期收入：预算、实际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2100元、2040元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星空学期支出：预算、实际；结余；结余率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1840元、1788元；252元；12.4%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青禾10月结余；结余率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4550元；38.7%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项目10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星空支出；青禾10月支出、收入、结余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1788元；7200元、11750元、4550元</w:t>
            </w:r>
          </w:p>
        </w:tc>
      </w:tr>
    </w:tbl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十一、现状（2026-10-29）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教材文件：项目1 v6、项目2 v7、项目3 v6、项目4 v8、项目5 v5、项目6 v4、项目7 v3、项目8 v5、项目9 v3、项目10 v4、项目11 v1、项目12 v1、项目13 v1。写作规则 v2。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项目13 已采用思政园地AI情境框、任务小结、项目综合练习与法规索引表。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十二、待办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图7-2 人物改为小韩形象（按第八节），图8-2、图9-2 等核对人物外貌。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第十节数值逐项核对各项目正文（注意：项目8 的9月收入与项目9 的学期收入同为2040元，须核实口径）。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项目1–7 版式渲染核对；项目8 扩写稿 exp8d 未运行。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