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三篇“相关文献”，并把它们直接写进了参考文献列表。老师检索时发现，其中两篇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-4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-5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用计算思维拆解“社团活动宣传”任务</w:t>
      </w:r>
    </w:p>
    <w:p>
      <w:pPr>
        <w:ind w:firstLine="420"/>
      </w:pPr>
      <w:r>
        <w:rPr>
          <w:b w:val="0"/>
        </w:rPr>
        <w:t>表1-4列出了四个步骤的含义，以及它们在小何任务中的具体体现。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表1-4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-6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工具选择与配置实训的基本流程</w:t>
      </w:r>
    </w:p>
    <w:p>
      <w:pPr>
        <w:ind w:firstLine="420"/>
      </w:pPr>
      <w:r>
        <w:rPr>
          <w:b w:val="0"/>
        </w:rPr>
        <w:t>表1-5是实训的任务单模板。任务单的每一项都必须填写，不能留空。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表1-5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在试用阶段，应当记录每一次输入和输出，并标注哪些内容经过了核验。表1-6是建议使用的核验记录表。</w:t>
      </w:r>
    </w:p>
    <w:p>
      <w:pPr>
        <w:jc w:val="center"/>
      </w:pPr>
      <w:r>
        <w:rPr>
          <w:b/>
          <w:sz w:val="21"/>
        </w:rPr>
        <w:t>表1-6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评分的依据见表1-7。实训的重点不是得到一个完美的结果，而是能否清楚说明选择的过程，并对结果负责。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【常见误区】许多同学在实训中把重点放在“得到一个好结果”上，于是反复调整提示词，直到输出看起来满意为止。但实训的目的，是学会一套可以复用的工作方法。即使某次试用的结果并不理想，只要你能清楚地记录原因，说明下一次应当怎样改进，这份实训就是有价值的。相反，即使结果很完美，如果无法说明它是如何得到的，也不能算是合格的实训。</w:t>
      </w:r>
    </w:p>
    <w:p>
      <w:pPr>
        <w:ind w:firstLine="420"/>
      </w:pPr>
      <w:r>
        <w:rPr>
          <w:b w:val="0"/>
        </w:rPr>
        <w:t>【练习】请按照表1-5的格式，为你自己的任务填写一份完整的任务单。然后请一位同学阅读它，判断他是否能够仅凭任务单独立地选择合适的工具。如果不能，请找出任务单中含糊的地方，并加以改写。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-5的任务单；第二步，选择三种候选工具，按表1-3的维度比较，并写明各自的隐私与数据去向；第三步，选定一种工具，完成账号安全设置，并进行试用；第四步，用表1-6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第1章知识结构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