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项目1 导论（不计入模块）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标题待定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任务2.1 用表格记录收支并分类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标题待定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任务3.1 至3.3 待定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任务4.1 看懂票据和发票的关键信息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任务4.2 用AI生成检查清单，并用它审核报销材料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标题待定（主题：义卖摊收入成本与利润）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任务5.1 至5.3 待定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标题待定（主题：笔记本电脑登记与折旧）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任务6.1 至6.3 待定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标题待定（主题：工资条与个税）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任务7.1 至7.3 待定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标题待定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任务8.1 至8.3 待定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标题待定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任务9.1 至9.3 待定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标题待定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任务10.1 至10.3 待定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智能应用、风险复核与综合实战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标题待定（主题：财务知识库）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任务11.1 至11.3 待定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标题待定（主题：财务智能体）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任务12.1 至12.3 待定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标题待定（主题：AI结果的风险与复核）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任务13.1 待定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任务13.2 待定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任务13.3 财务数据的保密与脱敏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标题待定（主题：综合实战）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任务14.1 至14.3 待定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