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：人工智能财经素养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人工智能财经素养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全校非财会类各专业（公共基础课）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本教材是</w:t>
      </w:r>
      <w:r>
        <w:t xml:space="preserve"> OPC </w:t>
      </w:r>
      <w:r>
        <w:rPr>
          <w:rFonts w:hint="eastAsia"/>
        </w:rPr>
        <w:t xml:space="preserve">通识教育类教材，面向全校非财会类专业学生，作为公共基础课使用。依据河北省教育厅《关于加强OPC人才培养支持大学生创新创业的指导意见（试行）》（冀教高函〔2026〕45号，2026年9月9日印发）及国开社征稿通知，OPC</w:t>
      </w:r>
      <w:r>
        <w:t xml:space="preserve"> </w:t>
      </w:r>
      <w:r>
        <w:rPr>
          <w:rFonts w:hint="eastAsia"/>
        </w:rPr>
        <w:t xml:space="preserve">指”人工智能+创新创业”。该意见要求面向全体学生开设人工智能通识课，内容涵盖大模型基本原理、AI</w:t>
      </w:r>
      <w:r>
        <w:t xml:space="preserve"> </w:t>
      </w:r>
      <w:r>
        <w:rPr>
          <w:rFonts w:hint="eastAsia"/>
        </w:rPr>
        <w:t xml:space="preserve">工具使用方法和智能体开发基础知识，本书据此设计</w:t>
      </w:r>
      <w:r>
        <w:t xml:space="preserve"> AI </w:t>
      </w:r>
      <w:r>
        <w:rPr>
          <w:rFonts w:hint="eastAsia"/>
        </w:rPr>
        <w:t xml:space="preserve">工具与智能体的实操任务。本教材以此为主线，把生成式人工智能与智能体用于学生最常遇到的财经问题：个人收支、支付安全、发票报销、个人税务、合同与贷款、理财与保险条款，以及小微经营的收支与现金流。</w:t>
      </w:r>
    </w:p>
    <w:p>
      <w:pPr>
        <w:pStyle w:val="BodyText"/>
      </w:pPr>
      <w:r>
        <w:rPr>
          <w:rFonts w:hint="eastAsia"/>
        </w:rPr>
        <w:t xml:space="preserve">内容依据：全书的内容框架参照</w:t>
      </w:r>
      <w:r>
        <w:t xml:space="preserve"> </w:t>
      </w:r>
      <w:r>
        <w:rPr>
          <w:rFonts w:hint="eastAsia"/>
        </w:rPr>
        <w:t xml:space="preserve">OECD/INFE《成人财经素养核心能力框架》（2016年），该框架与</w:t>
      </w:r>
      <w:r>
        <w:t xml:space="preserve"> PISA </w:t>
      </w:r>
      <w:r>
        <w:rPr>
          <w:rFonts w:hint="eastAsia"/>
        </w:rPr>
        <w:t xml:space="preserve">财经素养评估采用相同的四个内容领域，即金钱与交易、规划与管理财务、风险与回报、金融环境。该框架发布于生成式人工智能普及之前，本书在其基础上增加</w:t>
      </w:r>
      <w:r>
        <w:t xml:space="preserve"> AI </w:t>
      </w:r>
      <w:r>
        <w:rPr>
          <w:rFonts w:hint="eastAsia"/>
        </w:rPr>
        <w:t xml:space="preserve">辅助的操作与核验要求。政策依据包括教育部《关于深化职业教育教学关键要素改革的意见》（教职成〔2026〕1号）、《中华人民共和国反电信网络诈骗法》（2022年12月1日施行）和《互联网信息服务深度合成管理规定》（2023年1月10日施行）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承担识别与分析，学生承担评价与应用，并留下可追溯的记录。教材不讲会计原理，不涉及编程。每个项目的知识卡片不超过</w:t>
      </w:r>
      <w:r>
        <w:t xml:space="preserve"> 300 </w:t>
      </w:r>
      <w:r>
        <w:rPr>
          <w:rFonts w:hint="eastAsia"/>
        </w:rPr>
        <w:t xml:space="preserve">字，理论讲解不超过</w:t>
      </w:r>
      <w:r>
        <w:t xml:space="preserve"> 1 </w:t>
      </w:r>
      <w:r>
        <w:rPr>
          <w:rFonts w:hint="eastAsia"/>
        </w:rPr>
        <w:t xml:space="preserve">学时，全书理论约占四分之一。教材要求学生不上传身份证号、银行卡号等敏感信息，并在每个项目中设置人工复核环节。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大模型与提示词</w:t>
      </w:r>
      <w:r>
        <w:rPr>
          <w:rFonts w:hint="eastAsia"/>
        </w:rPr>
        <w:t xml:space="preserve">：讲解大模型原理与局限，训练结构化提示词，用于分期比较、预算草案和合同条款解释（第</w:t>
      </w:r>
      <w:r>
        <w:t xml:space="preserve"> 4、5、9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智能体开发（低代码）</w:t>
      </w:r>
      <w:r>
        <w:rPr>
          <w:rFonts w:hint="eastAsia"/>
        </w:rPr>
        <w:t xml:space="preserve">：配置”账务核对”与”财经提醒”智能体，设置触发条件与人工确认步骤，学生不编写代码（第</w:t>
      </w:r>
      <w:r>
        <w:t xml:space="preserve"> 1、3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：将个税政策、社保办理指南整理为知识库，回答须标注政策来源与发布日期，学生核对政策是否现行有效（第</w:t>
      </w:r>
      <w:r>
        <w:t xml:space="preserve"> 11、12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：识别票据、工资条和账单截图，输出结构化数据（第</w:t>
      </w:r>
      <w:r>
        <w:t xml:space="preserve"> 3、11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：在授权文件夹中整理流水与表格（第</w:t>
      </w:r>
      <w:r>
        <w:t xml:space="preserve"> 3、7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工作流编排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：薛辉老师于</w:t>
      </w:r>
      <w:r>
        <w:t xml:space="preserve"> 2026 </w:t>
      </w:r>
      <w:r>
        <w:rPr>
          <w:rFonts w:hint="eastAsia"/>
        </w:rPr>
        <w:t xml:space="preserve">年暑期担任一家企业的财税信息化顾问，建成含</w:t>
      </w:r>
      <w:r>
        <w:t xml:space="preserve"> 651 </w:t>
      </w:r>
      <w:r>
        <w:rPr>
          <w:rFonts w:hint="eastAsia"/>
        </w:rPr>
        <w:t xml:space="preserve">篇财税法规文档的企业知识库，形成</w:t>
      </w:r>
      <w:r>
        <w:t xml:space="preserve"> 6 </w:t>
      </w:r>
      <w:r>
        <w:rPr>
          <w:rFonts w:hint="eastAsia"/>
        </w:rPr>
        <w:t xml:space="preserve">组实质性合规分析。本书的政策提醒和条款解读以该案例的处理方法为原型，企业数据须脱敏，并经企业书面授权。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法律审核</w:t>
      </w:r>
      <w:r>
        <w:rPr>
          <w:rFonts w:hint="eastAsia"/>
        </w:rPr>
        <w:t xml:space="preserve">：一名执业律师（合伙人）参与项目</w:t>
      </w:r>
      <w:r>
        <w:t xml:space="preserve"> </w:t>
      </w:r>
      <w:r>
        <w:rPr>
          <w:rFonts w:hint="eastAsia"/>
        </w:rPr>
        <w:t xml:space="preserve">9「AI合同审查」和项目</w:t>
      </w:r>
      <w:r>
        <w:t xml:space="preserve"> </w:t>
      </w:r>
      <w:r>
        <w:rPr>
          <w:rFonts w:hint="eastAsia"/>
        </w:rPr>
        <w:t xml:space="preserve">8「AI荐股陷阱」的审核（待确认）。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产教融合成果</w:t>
      </w:r>
      <w:r>
        <w:rPr>
          <w:rFonts w:hint="eastAsia"/>
        </w:rPr>
        <w:t xml:space="preserve">：毕业设计改革让学生为企业完成</w:t>
      </w:r>
      <w:r>
        <w:t xml:space="preserve"> 651 </w:t>
      </w:r>
      <w:r>
        <w:rPr>
          <w:rFonts w:hint="eastAsia"/>
        </w:rPr>
        <w:t xml:space="preserve">篇文档的打标分类，学生获得真实课题，企业获得成果。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：与合作企业的协议正在签订中；企业专家名单待填。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公共基础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生活场景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辅助判断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人工核验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校企真案例</w:t>
      </w:r>
    </w:p>
    <w:p>
      <w:pPr>
        <w:pStyle w:val="BodyText"/>
      </w:pPr>
      <w:r>
        <w:rPr>
          <w:rFonts w:hint="eastAsia"/>
        </w:rPr>
        <w:t xml:space="preserve">理由简述：全书面向全校学生，以个人和小微经营中的真实财经问题为任务，AI</w:t>
      </w:r>
      <w:r>
        <w:t xml:space="preserve"> </w:t>
      </w:r>
      <w:r>
        <w:rPr>
          <w:rFonts w:hint="eastAsia"/>
        </w:rPr>
        <w:t xml:space="preserve">承担读取和解释，学生负责判断、核验和记录，学习成果以可交付的记录表和经营简报呈现。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AI工具隐私：划定个人数据使用边界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讲解大模型原理与局限，对示例材料标注敏感信息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确定不上传的信息范围，写出授权规则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AI拟声诈骗：识别信号，核实资金去向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标注聊天或通话转写中的诈骗信号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核实身份，追踪资金去向，判断风险等级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风险判断表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AI账务核对：核对票据与收支台账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识别票据截图，匹配台账条目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核对差异，判断记账是否正确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核对表、修正记录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AI分期消费：比较付款方式的真实成本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测算分期、手续费和总支出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判断付款方式是否适合自身情况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成本比较表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AI预算管家：编制预算与应急金方案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生成预算草案和应急金测算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调整预算，论证优先级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AI贷款推荐：测算借贷与信用总成本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计算利息、手续费和还款总额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判断是否举债，评估还款能力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借贷成本表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AI一人公司：梳理经营现金流与利润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整理收支流水，生成现金流与利润草表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核对数据，判断经营风险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现金流表、经营简报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AI荐股陷阱：核验资质，匹配风险承受力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整理产品风险等级与费用信息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核验官方资质，匹配个人风险承受力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风险匹配表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AI合同审查：排查违约与解约风险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提取合同条款并标注风险点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判断违约与解约后果，决定是否签约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条款风险表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AI生成信息：辨别来源与数据误导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对财经信息和图表做来源与口径分析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判断是否误导，核实原始数据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AI个税计算：核算工资条与税额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计算应纳税额和专项附加扣除，依据政策知识库标注出处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核对政策依据，确认结果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AI政务办理：梳理社保路径，核实权益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依据办理指南知识库梳理流程和所需材料，标注出处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以官方信息为准核实，确定办理步骤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办理清单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AI创业决策：评估一人公司与家庭财务方案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生成方案对比与情景测算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做出决策，说明理由并承担结果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决策报告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：任务单、核验表、提醒清单、留痕表均为活页工单，可单独使用。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：每个项目以真实财经问题为原型，案例数据脱敏并注明来源与授权。热点案例（如</w:t>
      </w:r>
      <w:r>
        <w:t xml:space="preserve"> AI </w:t>
      </w:r>
      <w:r>
        <w:rPr>
          <w:rFonts w:hint="eastAsia"/>
        </w:rPr>
        <w:t xml:space="preserve">拟声诈骗、AI</w:t>
      </w:r>
      <w:r>
        <w:t xml:space="preserve"> </w:t>
      </w:r>
      <w:r>
        <w:rPr>
          <w:rFonts w:hint="eastAsia"/>
        </w:rPr>
        <w:t xml:space="preserve">荐股）只作为案例层，每年更新。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以生活和一人公司中的真实问题为任务，学生能够直接用于日常；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风险意识贯穿全书，敏感信息不上传，AI</w:t>
      </w:r>
      <w:r>
        <w:t xml:space="preserve"> </w:t>
      </w:r>
      <w:r>
        <w:rPr>
          <w:rFonts w:hint="eastAsia"/>
        </w:rPr>
        <w:t xml:space="preserve">输出不能直接作为决定；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课程—训练—实战进阶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至</w:t>
      </w:r>
      <w:r>
        <w:t xml:space="preserve"> 4 </w:t>
      </w:r>
      <w:r>
        <w:rPr>
          <w:rFonts w:hint="eastAsia"/>
        </w:rPr>
        <w:t xml:space="preserve">项目为课程，学习数据边界、支付与票据基础；第</w:t>
      </w:r>
      <w:r>
        <w:t xml:space="preserve"> 5 </w:t>
      </w:r>
      <w:r>
        <w:rPr>
          <w:rFonts w:hint="eastAsia"/>
        </w:rPr>
        <w:t xml:space="preserve">至</w:t>
      </w:r>
      <w:r>
        <w:t xml:space="preserve"> 10 </w:t>
      </w:r>
      <w:r>
        <w:rPr>
          <w:rFonts w:hint="eastAsia"/>
        </w:rPr>
        <w:t xml:space="preserve">项目为训练，完成预算、借贷、经营与合同等专题；第</w:t>
      </w:r>
      <w:r>
        <w:t xml:space="preserve"> 11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项目为实战，完成个税、社保和创业决策的综合任务。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：核验表、提醒清单、留痕表的电子版模板。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31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完成申报材料定稿，签订企业合作协议，取得法律审核确认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9、8 </w:t>
            </w:r>
            <w:r>
              <w:rPr>
                <w:rFonts w:hint="eastAsia"/>
              </w:rPr>
              <w:t xml:space="preserve">的条款审核（待确认）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合作企业（名称待授权后填写）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程娟娟律师的执业基础：河北鸿翔（石家庄）律师事务所合伙人，中共党员，中国法学会会员，石家庄市城市更新智库专家，石家庄律师协会第七届民商事专业委员会副主任、参政议政专业委员会委员，石家庄律师协会调解员，石家庄市广播电视台882”银发少年”栏目特约法律嘉宾，2024</w:t>
      </w:r>
      <w:r>
        <w:t xml:space="preserve"> </w:t>
      </w:r>
      <w:r>
        <w:rPr>
          <w:rFonts w:hint="eastAsia"/>
        </w:rPr>
        <w:t xml:space="preserve">年度石家庄市优秀律师、服务民营企业优秀律师，具有基金从业资格，现为唐山、承德、衡水、固原、日照、柳州等多家仲裁机构仲裁员，擅长金融交易合同起草审查和金融纠纷处理。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2026-10-13T04:31:43Z</dcterms:created>
  <dcterms:modified xsi:type="dcterms:W3CDTF">2026-10-13T04:31:43Z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