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项目13 从一笔说不清的报销说起：结果风险与人工复核</w:t>
      </w:r>
    </w:p>
    <w:p>
      <w:pPr>
        <w:pStyle w:val="Heading2"/>
      </w:pPr>
      <w:r>
        <w:t>学习目标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图13-1 学习目标思维导图</w:t>
      </w:r>
    </w:p>
    <w:p>
      <w:pPr>
        <w:pStyle w:val="Heading2"/>
      </w:pPr>
      <w:r>
        <w:t>任务13.1 识别AI常见的错误（漏票、算错、编造政策）</w:t>
      </w:r>
    </w:p>
    <w:p>
      <w:pPr>
        <w:pStyle w:val="Heading3"/>
      </w:pPr>
      <w:r>
        <w:t>导入：一份汇总表，三处说不清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期末，星空读书会要向全体社员公布一学期的活动报销汇总。财务干事小何把二十张票据和报销单交给大模型，请它整理成汇总表。结果汇总表看起来很整齐：合计数字精确到分，还附上了一段说明，写着“社团报销须经校领导逐笔审批”。小何觉得这句话有些陌生，翻遍学院的文件，也找不到这条规定。另外，她数了一下，汇总表里只有十九条记录，少了一张场地收据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实习生孙悦用大模型整理九月的差旅报销。模型把两张酒店发票合并成一条记录，金额算错了十二元；它还在备注中写道：“公司规定超过五百元的差旅费须总经理签字。”孙悦问陈静这条规定是否存在，陈静说：“我从来没见过这个规定。大模型说得很肯定，并不代表它说的是真的。”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2_小何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图13-2 小何借助放大镜逐张核对小票</w:t>
      </w:r>
    </w:p>
    <w:p>
      <w:pPr>
        <w:ind w:firstLine="0"/>
      </w:pPr>
    </w:p>
    <w:p>
      <w:pPr>
        <w:pStyle w:val="Heading3"/>
      </w:pPr>
      <w:r>
        <w:t>一、三类常见错误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在财务场景中常见的错误可以归为三类。第一类是漏票，即应当列入的票据没有出现在结果中；第二类是算错，即合计、差额或税额的计算结果不正确；第三类是编造政策，即模型说出了单位制度或法规中并不存在的规定。三类错误的共同特点是：结果的语气往往非常肯定，表面上看不出问题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财务审核的角度看，三类错误分别触及不同的质量要求。漏票影响完整性，即应当记录的业务是否全部被记录；算错影响准确性，即记录的金额是否与原始凭证和计算过程一致；编造政策影响合规性与真实性，即处理依据是否真实存在、是否适用于本单位。传统审核人员习惯于检查前两项，而大模型带来的新风险主要集中在第三项，因为模型生成的政策说明往往语言规范，容易被当作权威来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同一个错误在不同环节的危害并不相同。若在汇总阶段发现，只需修改表格；若在对外公示或付款之后才发现，就可能需要追回款项、更正公告，甚至影响单位的声誉。因此，识别错误的时机也是风险管理的一部分，越早发现，成本越低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之所以把第三类错误称为“编造政策”，是因为大模型在生成文字时，会优先选择训练材料中常见的说法。如果一个说法在大量文本中经常出现，模型就可能把它当作答案说出来，即使它与本单位的制度无关。这种现象在学术上常被称为幻觉，指模型生成了看似合理、却与事实不符的内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【通识】对财务人员来说，三类错误的后果并不相同。漏票可能造成报销不完整，算错可能造成多付或少付，编造政策则可能使人按照一条根本不存在的规定办事，因此风险最大。</w:t>
      </w:r>
    </w:p>
    <w:p>
      <w:pPr>
        <w:pStyle w:val="Heading3"/>
      </w:pPr>
      <w:r>
        <w:t>二、错误产生的原因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生成内容的基本方式，是根据前文逐个预测下一个词元。词元可以是一个字、一个词或一段字符，它不是一个会计账簿，也不是一个计算器。因此，模型在处理长表格时，可能因为上下文过长而忽略靠后的记录，这就是漏票的一个原因；在多步运算中，它也可能因为预测的误差而得出一个接近但不相等的数字，这就是算错的原因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编造政策的原因更为复杂。模型的回答受训练材料影响，当提示词中没有提供制度原文时，它往往会用常见的做法来填补空白。如果提示词没有限定“只依据所提供的内容回答”，这种补充就很难被察觉。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训练数据的时效性。大模型的知识来自训练时使用的材料，它不会自动获知单位最近修订的制度。若制度在训练之后发生变化，模型给出的说法就可能已经过时，但语气仍然肯定。因此，涉及制度的问题，应当以当前有效的文本为准，而不是以模型的记忆为准。</w:t>
      </w:r>
    </w:p>
    <w:p>
      <w:pPr>
        <w:pStyle w:val="Heading3"/>
      </w:pPr>
      <w:r>
        <w:t>三、如何识别三类错误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识别错误，需要为每一类错误设计相应的检查点。表13-1 列出了三类错误的典型表现和识别方法。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表13-1 大模型常见错误的识别与纠正（示例）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错误类型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典型表现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识别方法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纠正办法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汇总记录数少于票据数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逐张对照票据编号与记录数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补录漏项，并在问题清单中注明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算错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合计与明细之和不一致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用表格公式或计算工具复算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以公式结果为准，查明差额来源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编造政策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说明中出现制度中没有的规定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要求列出条款编号并核对原文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删除该说明，或标注“未核实”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从表13-1 可以看出，识别的关键是“不相信结果本身，而相信可以检验的过程”。记录数、合计数和条款原文，都是可以检验的对象。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032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3_错误成因与检验路径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图13-3 三类错误的成因、表现与检验路径</w:t>
      </w:r>
    </w:p>
    <w:p>
      <w:pPr>
        <w:pStyle w:val="Heading3"/>
      </w:pPr>
      <w:r>
        <w:t>四、AI操作：让大模型自检，并用结果对照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以在一定程度上帮助检查自己的输出，但这种自检只能作为辅助，不能代替人工核对。小何使用的提示词是：“请先逐张列出票据编号，再统计记录数，然后说明合计的计算过程。如果你提到任何制度规定，请给出条款编号和原文；如果找不到原文，请写‘未核实’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新回复中，票据编号列出了十九个，但其中第十七个的编号与原票不符；合计数字与前一次相同，计算过程却没有逐项列出；关于校领导审批的说明被改写为“未在提供的材料中找到依据”。小何据此得出结论：第一次的“整齐”是假象，模型的自检也只能发现部分问题。她把第十七张票据与原件核对后，修正了编号，并重新用表格公式计算了合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分析：这个例子说明，要求模型列出中间步骤，有助于暴露错误；但模型给出的“未核实”并不等于真的核实了，最终的核对仍要回到原件。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补录了漏掉的场地收据，用公式复算了合计，并把校领导审批的说法从汇总表中删去。她在问题清单中记录了三项内容：漏票一张、编号错误一处、政策说明一条。这份清单后来成为社团复核的依据，也让社员们知道，汇总表的每一项都有据可查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两张酒店发票拆开，逐张核对了金额，并以公式复算了差旅合计。她向陈静报告了“总经理签字”的说明，陈静要求她到制度文件中逐条查找。查找结果表明，公司的费用管理制度中并没有这项规定。孙悦把这次经历写进了部门的工作记录，提醒同事不要直接引用大模型提供的制度说法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误区一：认为语气肯定的回答就是正确的回答。大模型的语气与准确性并不一定相关，肯定的语气可能掩盖错误。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误区二：认为让模型“再检查一遍”就足够可靠。自检有助于发现部分错误，但模型可能在同一处重复犯错，不能替代独立核算。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误区三：只核对数字，不核对政策。编造政策的风险往往比算错更大，因为它会让人按照不存在的规定办事。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误区四：只看结果，不看过程。没有中间步骤的结论，无法被检验，也无法被追溯。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思政园地：说得对，不等于说得真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何的汇总表在公布前被社团负责人看到，负责人问她：“这个说法既然是大模型写的，是不是可以直接用？”小何回答：“它说得很肯定，但我们不能因为它肯定，就告诉社员一条不存在的规定。我们公布的每一句话，都要有依据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一位员工看到大模型生成的“总经理签字”说明后，准备按此执行，并要求财务部门补办签字。陈静拦下了这件事，她说：“先查制度，没有依据的要求，我们不执行，也不对外传播。”这件事之后，部门的报销说明都需要注明条款来源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根据公司的差旅制度，说明超过一定金额的报销需要哪些审批。”（输入中没有提供制度原文。）AI大模型回复：“超过五百元的差旅费，需要部门负责人和财务负责人双重签字，并在报销单中注明事由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由于没有提供制度原文，模型只能依据常见做法给出回答。它的语言规范、条理清楚，但“五百元”与“双重签字”都没有依据。如果财务人员照此执行，就可能造成制度之外的审批，或者遗漏真正需要的审批。正确的做法是：先提供制度原文，要求模型只依据原文回答，并对找不到依据的内容明确标注“未核实”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为什么说肯定的语气会增加误导的风险？请结合上面的例子说明。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如果你在学习或工作中发现大模型给出了一条你从未见过的规定，你会如何核实？请写出具体步骤。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在使用大模型时，你习惯于相信它的哪一类结果？哪一类结果你会主动核对？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智能大模型的回答可以快速提供线索，但它不能证明自己的正确性。财务工作的基本要求，是每一个数字、每一条规定都有可以追溯的来源。面对一个说得很肯定的回答，保持怀疑，并回到原件和原文去核实，这是对数字负责，也是对同伴负责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对大模型给出的每一条制度说明，都要求其列出条款编号，并回到原文核对。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对大模型给出的每一个合计，都用公式或工具复算，并保留复算记录。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AI使用承诺：我承诺不把大模型的肯定语气当作核对依据，对找不到原文的规定，一律标注“未核实”，不对外传播。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票据数量、合计数字与政策说明均已逐项核对；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每条政策都能回到制度原文或注明“未核实”；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核对过程与修正记录已保留。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选取一份你熟悉的票据清单，请大模型整理成汇总表，然后分别检查漏票、算错和编造政策三类错误，并记录结果。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设计一个提示词，使模型只依据你提供的制度文字回答，并测试它是否能对找不到依据的问题给出“未核实”。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收集一条大模型给出的制度说明，尝试在官方或单位制度文本中查找其原文，写出查找结果。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1）大模型常见的三类错误是漏票、算错和编造政策，其中编造政策的风险最大。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2）识别错误要依靠可以检验的对象，如记录数、合计数和条款原文，而不是模型的语气。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3）让模型列出中间步骤有助于暴露错误，但最终核对必须回到原件与原文。</w:t>
      </w:r>
    </w:p>
    <w:p>
      <w:pPr>
        <w:pStyle w:val="Heading2"/>
      </w:pPr>
      <w:r>
        <w:t>任务13.2 设计复核清单</w:t>
      </w:r>
    </w:p>
    <w:p>
      <w:pPr>
        <w:pStyle w:val="Heading3"/>
      </w:pPr>
      <w:r>
        <w:t>导入：一张清单，能挡住哪些错误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社团负责人在看到小何的问题清单后，提出一个想法：以后每次汇总之前，都应有一张固定的复核清单，逐项检查，而不是每次都靠记忆。小何和他一起讨论，决定把三类错误分别对应到清单的检查项上。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陈静要求孙悦为差旅报销设计一张复核清单。她说：“清单不是为了让人偷懒，而是为了让每个人都检查同样的东西。清单上的每一项，都要写明依据是什么，谁来确认。”孙悦于是开始学习复核清单的结构。</w:t>
      </w:r>
    </w:p>
    <w:p>
      <w:pPr>
        <w:ind w:firstLine="0"/>
      </w:pPr>
    </w:p>
    <w:p>
      <w:pPr>
        <w:pStyle w:val="Heading3"/>
      </w:pPr>
      <w:r>
        <w:t>一、复核清单的结构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张有效的复核清单，通常包括五项内容：检查项，即要检查什么；判断标准，即怎样算合格；依据，即判断标准来自哪里；结论，即合格、不合格或需进一步核实；责任人，即由谁签字确认。缺少任何一项，清单都会变得形式化。表13-2 是一个简化的模板。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表13-2 复核清单模板（示例）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判断标准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票据数量与清单一致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记录数等于票据数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票据清单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合格/不合格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经办人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公式复算结果相等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合格/不合格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每条政策有原文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找到条款编号与原文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制度文本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合格/需进一步核实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签字与日期齐全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审批栏完整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合格/不合格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财务负责人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表中的“依据”一列看似简单，却是防止编造政策的关键。只要每一项标准都能指向一份具体的文件，清单就不会成为模型随意生成的内容。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复核清单本身也需要版本管理。清单应当注明制定日期和依据文件的版本号；制度修订后，清单必须同步修改，并保留旧版，以便追溯某一笔报销当时适用的标准。没有版本的清单，容易在使用中被随意改动，失去作为依据的意义。</w:t>
      </w:r>
    </w:p>
    <w:p>
      <w:pPr>
        <w:pStyle w:val="Heading3"/>
      </w:pPr>
      <w:r>
        <w:t>二、针对三类错误设计检查点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复核清单应当直接对应风险。漏票，对应数量对账，即记录数与票据数是否一致；算错，对应金额对账，即合计与明细是否一致；编造政策，对应依据对账，即每条说明是否能回到原文。图13-4 展示了这三道检查的顺序：先数量，再金额，最后依据，每一步不通过，都要回到问题清单，补查或修正之后，才能进入下一步。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0320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4_复核清单流程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图13-4 报销汇总的三道复核流程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图中的顺序并非随意安排。金额复核必须建立在数量齐全的基础上，否则合计虽然一致，也可能缺少关键票据；依据复核放在最后，是因为只有票据和金额确认之后，才能针对具体的事项核对政策。</w:t>
      </w:r>
    </w:p>
    <w:p>
      <w:pPr>
        <w:pStyle w:val="Heading3"/>
      </w:pPr>
      <w:r>
        <w:t>三、复核的层次与分工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复核通常分为三个层次。第一层是大模型的自检，由模型按清单逐项列出判断过程，用于发现明显的遗漏，但它的结论只能作为线索；第二层是工具与公式核算，用表格或计算工具复算，结果可以重复验证；第三层是人工抽查与签字，由审核人对关键项目进行核对，并承担最终责任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【通识】抽查并不意味着只看一部分就可以放心。抽查的目的，是通过样本发现系统性的问题。如果样本中发现了错误，就应当扩大检查范围，而不是只修正样本中的那一条。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复核的独立性同样重要。制作汇总表的人不应当同时担任复核与签字的人，这是内部控制中“不相容岗位相分离”的基本要求。大模型的使用也应遵循这一原则：由大模型生成汇总表的人，应当由另一位人员对照原件复核，并由负责人签字。若两者由同一人兼任，清单的作用就会大打折扣。</w:t>
      </w:r>
    </w:p>
    <w:p>
      <w:pPr>
        <w:pStyle w:val="Heading3"/>
      </w:pPr>
      <w:r>
        <w:t>四、AI操作：用大模型生成清单，并用清单复核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以帮助起草复核清单，但清单的每一项都必须能够回到制度原文。孙悦使用的提示词是：“请根据下面的差旅制度文字，生成一份复核清单。每一项必须注明对应的条款编号，只使用制度中明确写出的规定。如果制度中没有对应内容，请不要添加该项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生成的清单共有七项，其中前五项都能找到对应条款。第六项要求“超过五百元的报销需总经理签字”，在制度文字中并没有这一条。孙悦删去了第六项，并在清单后注明：“制度原文中未找到依据，已删除。”第七项是“提交报销单需附身份证复印件”，她也没有找到依据，于是将其删除，并注明“制度原文未规定此项，不作为审核标准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分析：大模型能够快速生成条目，却不会主动区分哪些条目有依据、哪些没有。清单的价值，恰恰来自人工对每一条依据的核对。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与社团负责人一起编制了一张包含八项内容的复核清单，每项都注明了依据。此后的两次汇总，都按照清单逐项复核。第二次复核时，清单发现了一处金额差异：一位社员的交通费被重复填写。由于金额对账这一项不通过，团队及时查出了问题，避免了重复报销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的差旅复核清单在部门试用一个月。陈静发现，清单中的“依据”一列，帮助新员工很快明白了每一项的来源。部门经理提出，希望把“超标”这一项的判断标准也写进清单。孙悦回答：“可以写，但标准必须来自制度原文。如果制度中没有，我们就只能标注需进一步核实。”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误区一：认为清单越长越安全。清单过长会让人疲于应付，反而忽略关键项。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误区二：清单没有依据列。没有依据的检查项，无法判断是否合格，也无法追溯。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误区三：只由大模型核对清单。模型的核对结果可以作为参考，但不能替代责任人的签字。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误区四：清单一经制定就永久有效。制度修订后，清单也必须同步更新。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思政园地：清单是对自己的约束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团的一位骨干曾经觉得，汇总表由大模型整理，不必逐张核对。小何没有附和。她在清单上写明：“金额对账，每次必做。”她说：“我们做的是给社员看的账。清单不是为了防备谁，而是为了防备我们自己的疏忽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孙悦在试用复核清单时，曾经因为赶时间而跳过了依据对账一项。陈静发现后，没有批评她，而是请她把跳过的项目补齐，并说明原因。陈静说：“清单的意义，是让我们在最忙的时候，仍然按照同样的标准办事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提示词：“请为差旅报销设计一份复核清单，要求尽可能全面。”（没有提供制度原文。）AI大模型回复：“1. 票据是否真实；2. 金额是否与明细一致；3. 超过五百元的报销须总经理审批；4. 出差事由是否写明；5. 报销是否在规定期限内提交。”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第1、2、4项是通用的检查要求，但第3项和第5项的具体内容没有来源。大模型在“尽可能全面”的要求下，主动补充了看似合理的规定。如果清单被直接使用，团队就会把一条没有依据的审批要求当作制度执行。正确的做法是：先提供制度原文，要求每一项注明依据，并删除或标注没有依据的项目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为什么“尽可能全面”的提示词反而可能增加错误？请结合上例说明。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如果一项复核标准在制度中找不到依据，但你认为它很有必要，你应当怎样处理？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你是否遇到过因为跳过某个检查项而出现问题的情况？如果重来一次，你会如何改进？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清单把人的判断转化为可以执行的步骤，它保护的不只是数字，还有我们的职业习惯。人工智能大模型可以帮助起草清单，但清单的每一项都需要人来确认依据、承担责任。坚持按清单复核，即使在忙碌时也不跳过关键项，是财务工作者对自己的约束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制定复核清单时，每一项都注明判断标准与依据，没有依据的项目不得保留。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复核时逐项勾选结论，不得以“大体一致”代替逐项核对。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AI使用承诺：我承诺不直接采用大模型生成的清单，清单经过依据核对后方可使用，并保留删除或修改的记录。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每一项检查都有判断标准与依据；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清单已按三个层次分工，并有责任人签字；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大模型生成的条目均已核对，删除或修改的记录已保留。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为你所在的学生组织设计一份报销复核清单，至少包括六项，每项注明判断标准与依据。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用大模型生成一份复核清单，然后逐项核对依据，写出被删除或修改的条目及理由。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设计一个抽样方案，说明你会对哪些项目全部复核，对哪些项目按比例抽取。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1）复核清单由检查项、判断标准、依据、结论和责任人组成，缺少依据的项目不能保留。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2）复核按数量、金额和依据的顺序进行，三个层次分别由模型、工具和人承担。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3）大模型可以帮助起草清单，但每一项都需要回到制度原文核对，最终的签字由人负责。</w:t>
      </w:r>
    </w:p>
    <w:p>
      <w:pPr>
        <w:pStyle w:val="Heading2"/>
      </w:pPr>
      <w:r>
        <w:t>任务13.3 用AI辅助财务数据的保密与脱敏</w:t>
      </w:r>
    </w:p>
    <w:p>
      <w:pPr>
        <w:pStyle w:val="Heading3"/>
      </w:pPr>
      <w:r>
        <w:t>导入：一张公示表格的风险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星空读书会准备在期末公布活动经费明细。财务干事小何把报名表和报销单合并成一张表格，表中有同学的姓名、学号、手机号，还有几位同学的报销地点和时间。她想让大模型帮忙整理成可以公示的版本，但在复制之前，她停下来想了想：这些信息能不能交给一个她无法控制的工具？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青禾文具的财务部需要分析九月的客户付款情况。表中有客户名称、联系人电话和银行账号。实习生孙悦正要把整张表粘贴进对话框，被陈静拦下，她说：“先想清楚，哪些信息是分析必须的。”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5_保密场景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图13-5 小何在公开材料前先隐去敏感信息</w:t>
      </w:r>
    </w:p>
    <w:p>
      <w:pPr>
        <w:ind w:firstLine="0"/>
      </w:pPr>
    </w:p>
    <w:p>
      <w:pPr>
        <w:pStyle w:val="Heading3"/>
      </w:pPr>
      <w:r>
        <w:t>一、哪些财务数据需要保护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为便于保护，财务数据可按风险粗分为三类（这不是法律对个人信息的分类）：第一类是个人信息，如姓名、学号、身份证号、手机号、住址等；第二类是交易数据，如客户名称、付款金额和时间、银行账号等，其中能够关联到自然人的信息也可能属于个人信息；第三类是内部经营信息，如成本结构、报价、合同条款等。同一字段可能同时属于多个类别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判断一项信息是否需要保护，可以问一个问题：如果这项信息被与工作无关的人看到，是否会让某个人或某家单位受到损害或困扰。如果答案是肯定的，就应当保护。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实践中常把数据分为公开、内部、敏感等几个级别，不同级别对应不同的使用范围。例如，已经公示的活动名称属于公开信息；报名表中的手机号属于敏感信息；尚未对外公布的报价与合同条款，则属于内部经营信息。分级的价值在于让人在使用数据之前就知道该怎样处理，而不必每次临时判断。</w:t>
      </w:r>
    </w:p>
    <w:p>
      <w:pPr>
        <w:pStyle w:val="Heading3"/>
      </w:pPr>
      <w:r>
        <w:t>二、保密的三条基本要求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保密工作通常要做到三点：第一，最小必要，只提供完成任务所必需的字段，其余信息不提供；第二，知情范围，明确哪些人可以查看哪些数据，并写进制度；第三，留痕，记录谁在何时查看、导出或转发过数据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这三点中，第一条最容易做到，也最容易被忽视。分析客户付款时，通常不需要客户的银行账号；分析活动经费时，通常不需要同学的学号。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知情范围与留痕往往是制度落实的难点。一份数据在共享之前，应当明确接收人、用途和有效期；导出之后，应当记录导出人、时间、字段和去向。留痕的作用不是为了追究个人，而是当数据发生泄露时，能够迅速判断影响范围，并采取补救措施。</w:t>
      </w:r>
    </w:p>
    <w:p>
      <w:pPr>
        <w:pStyle w:val="Heading3"/>
      </w:pPr>
      <w:r>
        <w:t>三、脱敏的常用方法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脱敏是对数据进行处理以降低直接识别风险的操作性统称，不等于法律意义上的匿名化。若仍能借助单独保存的对照表或其他信息识别个人，数据仍可能属于个人信息，不能仅因替换了姓名就认为风险已经消除。常用方法如表13-3所示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表13-3 常用脱敏方法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做法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去掉不需要的字段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删除手机号、银行账号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遮蔽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保留部分字符，隐去其余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138****5678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泛化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用范围代替精确值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金额“1000元以上”代替具体数字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替换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用编号代替真实名称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张某某改为“成员A”，客户改为“客户B”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假名化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用编号替代，对照表单独保存，只在本单位内可还原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对照表存放在限定访问的文件夹中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保密和脱敏的具体要求，应当回到法律、单位制度和适用的行业规范核对。《个人信息保护法》第四条界定个人信息，第六条要求处理目的明确、合理、直接相关，收集限于实现目的的最小范围；第五十一条列举个人信息处理者应采取的安全措施，包括分类管理、加密或去标识化、权限控制、安全培训和应急预案。《数据安全法》第二十七条要求开展数据处理活动建立全流程数据安全管理制度，并采取相应技术措施和其他必要措施。会计核算与票据审核的依据还包括《中华人民共和国会计法》第十四条、《会计基础工作规范》第四十八条第一项和《中华人民共和国发票管理办法》第二十条。相关法规的发文与修订情况见附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大模型可能编造条文号或改写原文，因此，引用依据时应先查官方文本，再写入说明。查不到原文的内容，不写入。</w:t>
      </w:r>
    </w:p>
    <w:p>
      <w:pPr>
        <w:pStyle w:val="Heading3"/>
      </w:pPr>
      <w:r>
        <w:t>四、AI操作：先脱敏，后分析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大模型辅助数据处理的顺序必须是：先在本地完成脱敏，再把脱敏后的内容交给大模型。请按照下面的顺序操作。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第一步，在本地表格中完成脱敏。删除姓名、学号、电话和银行账号，把人员和客户替换为编号，把编号与真实名称的对照表单独保存，不上传到任何工具。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二步，把已脱敏的表格交给大模型，并使用下面的提示词：“你是一名财务数据管理员。下面是已经脱敏的报销明细，人员和客户已用编号替代。请找出其中仍可能识别个人或单位的字段，并说明理由。只根据我提供的内容判断，不要猜测被遮蔽或删除的信息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第三步，对照大模型给出的清单，逐项检查。大模型可能遗漏组合识别的风险，因此，清单要由人来确认，不能直接当作最终结论。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删去了手机号和学号，把姓名替换为“成员A、成员B”，并把对照表保存在只有自己能访问的文件夹中。大模型提醒她，“活动地点加日期加金额”的组合可能指向某位同学。于是她把日期改为“某周”，把金额改为区间，再提交给社团负责人审核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先把客户名称替换为“客户A”，删去银行账号，再交给大模型分析。陈静要求她在共享前检查两件事：导出是否有记录，对照表是否单独保存。孙悦发现，对照表和分析表被同事放在了同一个共享文件夹里，于是马上移走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误区一：删掉姓名，就等于完成了脱敏。组合信息仍然可能识别个人，必须做组合检查。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误区二：把原始数据交给大模型，让它帮忙脱敏。原始数据一旦离开本单位的控制范围，风险就已经发生。应当先脱敏，再使用大模型。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误区三：脱敏后的数据可以随意转发。脱敏降低了风险，但不能取代知情范围和留痕的要求。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思政园地：信任是财务工作的底线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某社团负责人在公布经费明细时，把同学的学号和宿舍号一并放进表中，引起部分同学的不安，活动的信任度也受到了影响。事后，他重新整理了表格，只保留金额和用途，并说明了公示的范围。他说：“公示是为了让大家放心，不是为了让大家认识每一个人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青禾文具的财务部门准备用大模型分析客户付款情况。陈静要求先建立脱敏规则，并且规定：对照表不得与分析文件存放在同一位置，导出必须留痕。孙悦按规则执行后，分析顺利完成，客户信息也未外泄。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分析下面的客户付款记录，找出逾期最严重的五家客户，并列出他们的联系电话和银行账号，方便我们催收。”（表中的数据未经脱敏。）AI大模型回复：“逾期最严重的客户依次为……，联系电话与银行账号如下……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完整地输出了个人与交易信息。分析逾期并不需要电话和银行账号，这些信息一旦离开本单位的控制范围，就可能被转发或滥用。正确的做法是：先删除与分析无关的字段，只保留客户编号和金额、天数等必需信息；催收所需的联系方式，应由财务人员在本单位内部查询，不经由大模型处理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为什么说“分析需要什么”与“表里有什么”是两个问题？请结合上例说明。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如果社团的公示需要说明经费用途，你会如何在保护同学信息的同时满足公示的要求？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你是否遇到过为了方便而把个人信息交给某个工具的情况？如果重来一次，你会如何处理？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工作的基础是信任。人工智能大模型可以大幅提高整理和分析的效率，但它不应当接触超出工作必需的个人信息。保护他人的信息，就是保护这份信任。使用大模型的同时，守住最小必要、知情范围和留痕这三条底线，是每一位财务工作者的责任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把数据交给任何大模型之前，先删除与任务无关的字段，并对个人与客户信息进行替换。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对照表与分析文件分开保存，并限定访问人员；导出与转发要留下记录。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AI使用承诺：我承诺不把未经脱敏的个人信息和交易信息输入大模型，并在每次使用后检查输入内容是否符合最小必要原则。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已删除与分析无关的字段，个人与客户信息已替换；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对照表与分析文件已分开保存，访问范围已限定；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导出与转发已留痕，组合风险已检查。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找一份含个人信息的报销明细（可以使用模拟数据），列出所有敏感字段，并写明每个字段采用的脱敏方法。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检查你的脱敏结果，找出一组可能组合识别个人的字段，并把其中一个字段改为泛化形式。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用大模型生成脱敏检查清单，与你自己的清单对照，记录大模型遗漏的项目。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1）财务数据共享之前，要先判断哪些信息需要保护，再选择删除、遮蔽、泛化、替换等方法脱敏。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2）脱敏后仍要检查组合风险，并坚持知情范围和留痕的要求。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3）大模型可以帮助列出检查项，但是否可以共享、如何共享，仍由人负责。</w:t>
      </w:r>
    </w:p>
    <w:p>
      <w:pPr>
        <w:pStyle w:val="Heading2"/>
      </w:pPr>
      <w:r>
        <w:t>项目总结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36000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6_本项目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图13-6 本项目知识图谱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以“报销”为主线，围绕“大模型的结果能否被信任”这一核心问题，展开三个任务。任务13.1解决“错在哪里”的问题，识别漏票、算错和编造政策三类错误，理解其产生的原因，并通过检验过程而非语气来识别错误。任务13.2解决“如何挡住错误”的问题，设计包含判断标准与依据的复核清单，按数量、金额和依据三道检查，并分层安排模型、工具与人工的工作。任务13.3解决“哪些数据可以交给大模型”的问题，区分敏感信息，运用脱敏方法，检查组合风险，并坚持最小必要、知情范围和留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三个任务之间是递进关系：先认识错误，再设计检查，最后守住数据的边界。本项目使用的大模型，始终是辅助工具。错误由人识别，清单由人确认，数据由人控制，签字与责任也由人承担。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表13-4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主要做法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需要守住的底线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13.1 识别AI常见的错误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漏票、算错、编造政策、幻觉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逐张对照、公式复算、要求列出条款原文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语气肯定不等于正确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13.2 设计复核清单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检查点、分层复核、抽样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每项写明判断标准与依据，按三道检查复核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没有依据的项目不得保留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13.3 用AI辅助保密与脱敏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敏感信息、脱敏方法、组合风险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先脱敏后分析，分开保存对照表，留痕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不把未脱敏信息输入大模型</w:t>
            </w:r>
          </w:p>
        </w:tc>
      </w:tr>
    </w:tbl>
    <w:p>
      <w:pPr>
        <w:ind w:firstLine="0"/>
      </w:pPr>
    </w:p>
    <w:p>
      <w:pPr>
        <w:pStyle w:val="Heading2"/>
      </w:pPr>
      <w:r>
        <w:t>项目综合练习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综合任务背景：星空读书会需要公布一学期的活动报销汇总，汇总表由大模型辅助整理。财务小组要求在公布之前完成复核，并保证公示内容不泄露同学的个人信息。下表为本次汇总的背景数据。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表13-5 综合练习背景数据（示例）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票据数量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共二十一张票据，汇总表记录二十张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有一张场地收据未被列入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汇总表合计为一千九百二十元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明细之和为一千九百零二元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政策说明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模型写有“校领导须逐笔审批”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制度原文中未找到依据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个人信息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报名表含姓名、学号、手机号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公示前需脱敏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请完成以下五项任务。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识别错误（20分）：找出汇总表中的漏票、算错与编造政策，分别写出证据与纠正办法。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设计复核清单（20分）：设计不少于六项的复核清单，每项写明判断标准、依据与责任人，并说明三道复核的顺序。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脱敏方案（20分）：列出公示所需的字段，写出每个敏感字段的脱敏方法，并检查至少一组组合风险。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大模型使用记录（25分）：写出你使用大模型的提示词与回复，逐项列出它的错误，并说明如何使用“只依据原文”等限定条件修正。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反思（15分）：写一段不超过三百字的反思，说明哪些判断由大模型完成，哪些判断由人完成，以及你如何确保公示内容可信且不泄露个人信息。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表13-6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分值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识别错误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三类错误均找出；证据具体；纠正办法可行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复核清单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不少于六项；每项有判断标准与依据；顺序合理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脱敏方案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字段列举完整；方法恰当；组合风险识别准确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大模型使用记录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提示词与回复完整；错误逐项列出；修正方法有效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人机分工说明具体；核实方法可操作；态度诚实</w:t>
            </w:r>
          </w:p>
        </w:tc>
      </w:tr>
    </w:tbl>
    <w:p>
      <w:pPr>
        <w:ind w:firstLine="0"/>
      </w:pPr>
    </w:p>
    <w:p>
      <w:pPr>
        <w:pStyle w:val="Heading2"/>
      </w:pPr>
      <w:r>
        <w:t>附录 法规与准则条文索引表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本书正文涉及的法规及会计准则条文如下表所列，使用前请以官方文本为准。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表13-7 法规与准则条文索引表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发文机关与文号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发布与修订情况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条文编号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中华人民共和国会计法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全国人民代表大会常务委员会；主席令第二十八号（2024年6月28日）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1999年修订，1993年、2017年两次修正；2024年6月28日修正，2024年7月1日起施行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第十四条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会计基础工作规范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财政部；财政部令第98号（2019年3月14日修改）</w:t>
            </w:r>
          </w:p>
        </w:tc>
        <w:tc>
          <w:tcPr>
            <w:tcW w:type="dxa" w:w="2078"/>
          </w:tcPr>
          <w:p>
            <w:r>
              <w:t>1996年6月17日公布；2019年3月14日修改。2025年征求意见稿及2026年度立法安排不等于已生效文本；出版前核查。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第四十八条第一项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中华人民共和国发票管理办法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国务院；国务院令第764号（2023年7月20日）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1993年12月23日财政部令第6号发布；2010年、2019年、2023年修订；2023年修订文本现行有效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第二十条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企业会计准则——基本准则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财政部；财政部令第33号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2006年2月15日公布，2007年1月1日起施行；2014年财政部令第76号修改第四十二条第五项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第九条（修改未涉及该条）</w:t>
            </w:r>
          </w:p>
        </w:tc>
      </w:tr>
      <w:tr>
        <w:tc>
          <w:tcPr>
            <w:tcW w:type="dxa" w:w="2078"/>
          </w:tcPr>
          <w:p>
            <w:r>
              <w:t>政府会计准则——基本准则</w:t>
            </w:r>
          </w:p>
        </w:tc>
        <w:tc>
          <w:tcPr>
            <w:tcW w:type="dxa" w:w="2078"/>
          </w:tcPr>
          <w:p>
            <w:r>
              <w:t>财政部；财政部令第78号（2015年10月23日）</w:t>
            </w:r>
          </w:p>
        </w:tc>
        <w:tc>
          <w:tcPr>
            <w:tcW w:type="dxa" w:w="2078"/>
          </w:tcPr>
          <w:p>
            <w:r>
              <w:t>2015年10月23日公布，2017年1月1日起施行</w:t>
            </w:r>
          </w:p>
        </w:tc>
        <w:tc>
          <w:tcPr>
            <w:tcW w:type="dxa" w:w="2078"/>
          </w:tcPr>
          <w:p>
            <w:r>
              <w:t>第三条（预算会计与财务会计的会计基础）</w:t>
            </w:r>
          </w:p>
        </w:tc>
      </w:tr>
      <w:tr>
        <w:tc>
          <w:tcPr>
            <w:tcW w:type="dxa" w:w="2078"/>
          </w:tcPr>
          <w:p>
            <w:r>
              <w:t>中华人民共和国个人信息保护法</w:t>
            </w:r>
          </w:p>
        </w:tc>
        <w:tc>
          <w:tcPr>
            <w:tcW w:type="dxa" w:w="2078"/>
          </w:tcPr>
          <w:p>
            <w:r>
              <w:t>全国人民代表大会常务委员会；主席令第九十一号</w:t>
            </w:r>
          </w:p>
        </w:tc>
        <w:tc>
          <w:tcPr>
            <w:tcW w:type="dxa" w:w="2078"/>
          </w:tcPr>
          <w:p>
            <w:r>
              <w:t>2021年8月20日通过；2021年11月1日起施行</w:t>
            </w:r>
          </w:p>
        </w:tc>
        <w:tc>
          <w:tcPr>
            <w:tcW w:type="dxa" w:w="2078"/>
          </w:tcPr>
          <w:p>
            <w:r>
              <w:t>第四条、第六条、第五十一条、第七十三条第三项、第四项</w:t>
            </w:r>
          </w:p>
        </w:tc>
      </w:tr>
      <w:tr>
        <w:tc>
          <w:tcPr>
            <w:tcW w:type="dxa" w:w="2078"/>
          </w:tcPr>
          <w:p>
            <w:r>
              <w:t>中华人民共和国数据安全法</w:t>
            </w:r>
          </w:p>
        </w:tc>
        <w:tc>
          <w:tcPr>
            <w:tcW w:type="dxa" w:w="2078"/>
          </w:tcPr>
          <w:p>
            <w:r>
              <w:t>全国人民代表大会常务委员会；主席令第八十四号</w:t>
            </w:r>
          </w:p>
        </w:tc>
        <w:tc>
          <w:tcPr>
            <w:tcW w:type="dxa" w:w="2078"/>
          </w:tcPr>
          <w:p>
            <w:r>
              <w:t>2021年6月10日通过；2021年9月1日起施行</w:t>
            </w:r>
          </w:p>
        </w:tc>
        <w:tc>
          <w:tcPr>
            <w:tcW w:type="dxa" w:w="2078"/>
          </w:tcPr>
          <w:p>
            <w:r>
              <w:t>第二十七条</w:t>
            </w:r>
          </w:p>
        </w:tc>
      </w:tr>
      <w:tr>
        <w:tc>
          <w:tcPr>
            <w:tcW w:type="dxa" w:w="2078"/>
          </w:tcPr>
          <w:p>
            <w:r>
              <w:t>中华人民共和国增值税法</w:t>
            </w:r>
          </w:p>
        </w:tc>
        <w:tc>
          <w:tcPr>
            <w:tcW w:type="dxa" w:w="2078"/>
          </w:tcPr>
          <w:p>
            <w:r>
              <w:t>全国人民代表大会常务委员会；中华人民共和国主席令第四十一号</w:t>
            </w:r>
          </w:p>
        </w:tc>
        <w:tc>
          <w:tcPr>
            <w:tcW w:type="dxa" w:w="2078"/>
          </w:tcPr>
          <w:p>
            <w:r>
              <w:t>2024年12月25日通过；2026年1月1日起施行</w:t>
            </w:r>
          </w:p>
        </w:tc>
        <w:tc>
          <w:tcPr>
            <w:tcW w:type="dxa" w:w="2078"/>
          </w:tcPr>
          <w:p>
            <w:r>
              <w:t>第十条第一项</w:t>
            </w:r>
          </w:p>
        </w:tc>
      </w:tr>
      <w:tr>
        <w:tc>
          <w:tcPr>
            <w:tcW w:type="dxa" w:w="2078"/>
          </w:tcPr>
          <w:p>
            <w:r>
              <w:t>国家税务总局公告2024年第11号</w:t>
            </w:r>
          </w:p>
        </w:tc>
        <w:tc>
          <w:tcPr>
            <w:tcW w:type="dxa" w:w="2078"/>
          </w:tcPr>
          <w:p>
            <w:r>
              <w:t>国家税务总局；公告2024年第11号</w:t>
            </w:r>
          </w:p>
        </w:tc>
        <w:tc>
          <w:tcPr>
            <w:tcW w:type="dxa" w:w="2078"/>
          </w:tcPr>
          <w:p>
            <w:r>
              <w:t>2024年发布；2024年12月1日起施行</w:t>
            </w:r>
          </w:p>
        </w:tc>
        <w:tc>
          <w:tcPr>
            <w:tcW w:type="dxa" w:w="2078"/>
          </w:tcPr>
          <w:p>
            <w:r>
              <w:t>第四项、第十一项</w:t>
            </w:r>
          </w:p>
        </w:tc>
      </w:tr>
      <w:tr>
        <w:tc>
          <w:tcPr>
            <w:tcW w:type="dxa" w:w="2078"/>
          </w:tcPr>
          <w:p>
            <w:r>
              <w:t>中华人民共和国个人所得税法</w:t>
            </w:r>
          </w:p>
        </w:tc>
        <w:tc>
          <w:tcPr>
            <w:tcW w:type="dxa" w:w="2078"/>
          </w:tcPr>
          <w:p>
            <w:r>
              <w:t>全国人民代表大会常务委员会；中华人民共和国主席令第九号（2018年）</w:t>
            </w:r>
          </w:p>
        </w:tc>
        <w:tc>
          <w:tcPr>
            <w:tcW w:type="dxa" w:w="2078"/>
          </w:tcPr>
          <w:p>
            <w:r>
              <w:t>2011年通过；2018年修改，2019年1月1日起施行</w:t>
            </w:r>
          </w:p>
        </w:tc>
        <w:tc>
          <w:tcPr>
            <w:tcW w:type="dxa" w:w="2078"/>
          </w:tcPr>
          <w:p>
            <w:r>
              <w:t>第六条、第十一条</w:t>
            </w:r>
          </w:p>
        </w:tc>
      </w:tr>
      <w:tr>
        <w:tc>
          <w:tcPr>
            <w:tcW w:type="dxa" w:w="2078"/>
          </w:tcPr>
          <w:p>
            <w:r>
              <w:t>个人所得税扣缴申报管理办法（试行）</w:t>
            </w:r>
          </w:p>
        </w:tc>
        <w:tc>
          <w:tcPr>
            <w:tcW w:type="dxa" w:w="2078"/>
          </w:tcPr>
          <w:p>
            <w:r>
              <w:t>国家税务总局；公告2018年第61号</w:t>
            </w:r>
          </w:p>
        </w:tc>
        <w:tc>
          <w:tcPr>
            <w:tcW w:type="dxa" w:w="2078"/>
          </w:tcPr>
          <w:p>
            <w:r>
              <w:t>2018年发布；2019年1月1日起施行</w:t>
            </w:r>
          </w:p>
        </w:tc>
        <w:tc>
          <w:tcPr>
            <w:tcW w:type="dxa" w:w="2078"/>
          </w:tcPr>
          <w:p>
            <w:r>
              <w:t>第六条、第七条</w:t>
            </w:r>
          </w:p>
        </w:tc>
      </w:tr>
      <w:tr>
        <w:tc>
          <w:tcPr>
            <w:tcW w:type="dxa" w:w="2078"/>
          </w:tcPr>
          <w:p>
            <w:r>
              <w:t>企业会计准则第1号——存货</w:t>
            </w:r>
          </w:p>
        </w:tc>
        <w:tc>
          <w:tcPr>
            <w:tcW w:type="dxa" w:w="2078"/>
          </w:tcPr>
          <w:p>
            <w:r>
              <w:t>财政部；财会〔2006〕3号</w:t>
            </w:r>
          </w:p>
        </w:tc>
        <w:tc>
          <w:tcPr>
            <w:tcW w:type="dxa" w:w="2078"/>
          </w:tcPr>
          <w:p>
            <w:r>
              <w:t>2006年2月15日发布；2007年1月1日起施行</w:t>
            </w:r>
          </w:p>
        </w:tc>
        <w:tc>
          <w:tcPr>
            <w:tcW w:type="dxa" w:w="2078"/>
          </w:tcPr>
          <w:p>
            <w:r>
              <w:t>第十四条</w:t>
            </w:r>
          </w:p>
        </w:tc>
      </w:tr>
      <w:tr>
        <w:tc>
          <w:tcPr>
            <w:tcW w:type="dxa" w:w="2078"/>
          </w:tcPr>
          <w:p>
            <w:r>
              <w:t>企业会计准则第4号——固定资产</w:t>
            </w:r>
          </w:p>
        </w:tc>
        <w:tc>
          <w:tcPr>
            <w:tcW w:type="dxa" w:w="2078"/>
          </w:tcPr>
          <w:p>
            <w:r>
              <w:t>财政部；财会〔2006〕3号</w:t>
            </w:r>
          </w:p>
        </w:tc>
        <w:tc>
          <w:tcPr>
            <w:tcW w:type="dxa" w:w="2078"/>
          </w:tcPr>
          <w:p>
            <w:r>
              <w:t>2006年2月15日发布；2007年1月1日起施行</w:t>
            </w:r>
          </w:p>
        </w:tc>
        <w:tc>
          <w:tcPr>
            <w:tcW w:type="dxa" w:w="2078"/>
          </w:tcPr>
          <w:p>
            <w:r>
              <w:t>第三、四、七、八条；第十四至十九条</w:t>
            </w:r>
          </w:p>
        </w:tc>
      </w:tr>
      <w:tr>
        <w:tc>
          <w:tcPr>
            <w:tcW w:type="dxa" w:w="2078"/>
          </w:tcPr>
          <w:p>
            <w:r>
              <w:t>企业会计准则第14号——收入</w:t>
            </w:r>
          </w:p>
        </w:tc>
        <w:tc>
          <w:tcPr>
            <w:tcW w:type="dxa" w:w="2078"/>
          </w:tcPr>
          <w:p>
            <w:r>
              <w:t>财政部；财会〔2017〕22号</w:t>
            </w:r>
          </w:p>
        </w:tc>
        <w:tc>
          <w:tcPr>
            <w:tcW w:type="dxa" w:w="2078"/>
          </w:tcPr>
          <w:p>
            <w:r>
              <w:t>2017年修订文本；适用范围及后续解释以现行文本为准，出版前核查</w:t>
            </w:r>
          </w:p>
        </w:tc>
        <w:tc>
          <w:tcPr>
            <w:tcW w:type="dxa" w:w="2078"/>
          </w:tcPr>
          <w:p>
            <w:r>
              <w:t>第四条、第五条</w:t>
            </w:r>
          </w:p>
        </w:tc>
      </w:tr>
    </w:tbl>
    <w:p>
      <w:pPr>
        <w:ind w:firstLine="0"/>
      </w:pPr>
    </w:p>
    <w:p>
      <w:pPr>
        <w:pStyle w:val="Heading2"/>
      </w:pPr>
      <w:r>
        <w:t xml:space="preserve">模块四小结</w:t>
      </w:r>
    </w:p>
    <w:p>
      <w:r>
        <w:t xml:space="preserve">模块四围绕“报销与审核”展开，从制度的整理、知识库的建立，到财务智能体的设计，再到结果风险与人工复核，形成了一条完整的链条：先把制度和规则整理清楚，再让工具在规则之内工作，最后用测试与复核检验结果。三个项目的共同主线是：工具可以加快工作，但规则、依据与责任必须由人掌握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>表13-8 模块四三个项目的核心内容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0"/>
        <w:gridCol w:w="2100"/>
        <w:gridCol w:w="2400"/>
        <w:gridCol w:w="1712"/>
      </w:tblGrid>
      <w:tr>
        <w:trPr>
          <w:tblHeader/>
        </w:trPr>
        <w:tc>
          <w:tcPr>
            <w:tcW w:type="dxa" w:w="21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21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核心问题</w:t>
            </w:r>
          </w:p>
        </w:tc>
        <w:tc>
          <w:tcPr>
            <w:tcW w:type="dxa" w:w="24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关键方法</w:t>
            </w:r>
          </w:p>
        </w:tc>
        <w:tc>
          <w:tcPr>
            <w:tcW w:type="dxa" w:w="17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需要守住的底线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项目11 财务知识库的建立</w:t>
            </w:r>
          </w:p>
        </w:tc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制度文件如何变成可检索的知识</w:t>
            </w:r>
          </w:p>
        </w:tc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按条款拆分，保留原文与版本，测试检验</w:t>
            </w:r>
          </w:p>
        </w:tc>
        <w:tc>
          <w:tcPr>
            <w:tcW w:type="dxa" w:w="17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不改写原文，不保留已废止版本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项目12 财务智能体的设计</w:t>
            </w:r>
          </w:p>
        </w:tc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智能助手如何完成审核工作</w:t>
            </w:r>
          </w:p>
        </w:tc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明确任务边界，接入知识库与计算工具，人工抽检</w:t>
            </w:r>
          </w:p>
        </w:tc>
        <w:tc>
          <w:tcPr>
            <w:tcW w:type="dxa" w:w="17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超标判断由人确认，不让助手直接通过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项目13 结果风险与人工复核</w:t>
            </w:r>
          </w:p>
        </w:tc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AI结果可能在哪里出错，如何复核</w:t>
            </w:r>
          </w:p>
        </w:tc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识别漏票、算错与编造政策，设置复核清单</w:t>
            </w:r>
          </w:p>
        </w:tc>
        <w:tc>
          <w:tcPr>
            <w:tcW w:type="dxa" w:w="17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保密与脱敏先行，复核有记录</w:t>
            </w:r>
          </w:p>
        </w:tc>
      </w:tr>
    </w:tbl>
    <w:p>
      <w:pPr>
        <w:ind w:firstLine="0"/>
      </w:pPr>
    </w:p>
    <w:p>
      <w:r>
        <w:t xml:space="preserve">学完本模块后，应当能够回答三个问题：这份制度是哪一版，依据在哪一条；这个结论是谁得出的，如何核对；如果结果出错，由谁负责纠正。能够清楚回答这三个问题，才算真正掌握了财务场景中使用大模型的基本能力。</w:t>
      </w:r>
    </w:p>
    <w:p>
      <w:pPr>
        <w:pStyle w:val="Heading2"/>
      </w:pPr>
      <w:r>
        <w:t>【拓展】（选学）</w:t>
      </w:r>
    </w:p>
    <w:p>
      <w:pPr>
        <w:pStyle w:val="Heading3"/>
      </w:pPr>
      <w:r>
        <w:t>任务13.1 拓展：温度参数与确定性</w:t>
      </w:r>
    </w:p>
    <w:p>
      <w:pPr>
        <w:pStyle w:val="Heading3"/>
      </w:pPr>
      <w:r>
        <w:t>任务13.1 拓展：上下文长度与信息遗忘</w:t>
      </w:r>
    </w:p>
    <w:p>
      <w:pPr>
        <w:pStyle w:val="Heading3"/>
      </w:pPr>
      <w:r>
        <w:t>任务13.1 拓展：幻觉的分类与应对</w:t>
      </w:r>
    </w:p>
    <w:p>
      <w:pPr>
        <w:pStyle w:val="Heading3"/>
      </w:pPr>
      <w:r>
        <w:t>任务13.2 拓展：抽样复核的方法</w:t>
      </w:r>
    </w:p>
    <w:p>
      <w:pPr>
        <w:pStyle w:val="Heading3"/>
      </w:pPr>
      <w:r>
        <w:t>任务13.3 拓展：去标识化与匿名化</w:t>
      </w:r>
    </w:p>
    <w:p>
      <w:pPr>
        <w:pStyle w:val="Heading3"/>
      </w:pPr>
      <w:r>
        <w:t>任务13.3 拓展：脱敏不等于匿名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温度参数与确定性。许多大模型服务提供温度参数，用于控制输出的随机性。温度较高时，模型更可能选择概率较低的词，回答更具多样性，但也更容易偏离事实；温度较低时，输出更稳定，但并不等于更正确。财务场景中，即使把温度调低，也不能因此认为结果可靠，因为模型仍可能在同样的位置犯同样的错误。真正的保障，来自核对的方法与人工的判断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下文长度与信息遗忘。大模型一次能够处理的文本长度是有限的，这个长度称为上下文窗口，它以词元计量。当一份汇总表和大量票据同时输入时，靠前和靠后的内容都可能得不到同等的关注，因此，把所有票据塞进一次对话，是漏票的高发情形。分批处理、每批固定条数、并逐批核对记录数，是比较稳妥的做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幻觉的分类与应对。学术上通常把幻觉分为两类：一类是事实性幻觉，即编造的事实、数字或引用；另一类是忠实性幻觉，即回答偏离了用户提供的材料。财务场景中，两类幻觉都可能出现。应对方法也相应分为两类：对事实性幻觉，要求模型列出来源并逐项核对；对忠实性幻觉，要求模型只使用提供的材料，并把超出材料的内容单独标注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抽样复核的方法。当票据数量很多时，不可能逐张复核，可以采用抽样的方法。常见做法有三种：按金额抽样，即金额较大的项目全部复核，较小的按比例抽取；按风险抽样，即对摘要不清、类别特殊或与以往差异较大的项目重点复核；随机抽样，即在全部项目中随机选取若干笔。三种方法可以组合使用。抽样的结果应当记录在案，以便日后判断抽样是否足够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去标识化与匿名化。去标识化是指删除或替换直接标识信息（如姓名、学号），但仍保留通过其他信息重新识别的可能，因此去标识化后的数据仍属于需要保护的数据。匿名化则要求处理后的信息无法识别特定自然人且不能复原。二者的法律属性不同：去标识化后的数据仍可能属于个人信息；依照《个人信息保护法》完成匿名化处理的信息不属于该法所称个人信息，但仍须遵守数据安全、保密及其他适用要求。在将数据交给大模型之前，多数场景只能做到去标识化，因此仍需遵守前述三条底线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脱敏不等于匿名。即使删除了姓名，如果“某个专业、某个活动日期、某个特定金额”这些信息组合在一起，仍然可能指向某位同学。因此，脱敏后还要检查组合信息：哪些字段单独看无害，合在一起却可能识别出具体的人或单位？遇到这种情况，应当进一步泛化，例如把日期改为“某周”，把金额改为区间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