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助理小周查看了采购单和销售记录，发现采购金额是3400元，销售收入是6050元。她第一反应是“赚了2650元”，但财务主管提醒她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ind w:firstLine="0"/>
      </w:pP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三、销货成本、期末存货与记账差错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/>
      <w:r>
        <w:rPr>
          <w:rFonts w:ascii="黑体" w:hAnsi="黑体" w:eastAsia="黑体"/>
          <w:b/>
        </w:rPr>
        <w:t>（二）职业线：一批文具的记账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/>
      <w:r>
        <w:rPr>
          <w:rFonts w:ascii="黑体" w:hAnsi="黑体" w:eastAsia="黑体"/>
          <w:b/>
        </w:rPr>
        <w:t>（三）收入在什么时候记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收入确认要先明确采用的会计基础。收付实现制按实际收款时点记录；权责发生制下，企业应依适用会计准则，在履行合同中的履约义务、客户取得商品控制权等条件满足时确认收入，不能只凭“已收款”或“有把握收款”判断。义卖摊按本例的收款口径记录；青禾文具则应区分已销售与已收款，并依据合同和业务事实确定确认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题设假定商品已交付、合同约定的履约义务已完成且满足收入确认条件，因此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赞助商承诺赞助300元，但在活动结束后才付款。按照收付实现制，活动期间尚未收到款项，不记录为已收收入，实际收款时再记录；如按权责发生制，则须依据赞助协议、履约情况及适用的确认条件判断是否确认收入或应收款，不能仅凭口头承诺或“有把握收到”入账。</w:t>
      </w:r>
    </w:p>
    <w:p>
      <w:pPr/>
      <w:r>
        <w:rPr>
          <w:rFonts w:ascii="黑体" w:hAnsi="黑体" w:eastAsia="黑体"/>
          <w:b/>
        </w:rPr>
        <w:t>（四）原始凭证与明细账的对应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/>
      <w:r>
        <w:rPr>
          <w:rFonts w:ascii="黑体" w:hAnsi="黑体" w:eastAsia="黑体"/>
          <w:b/>
        </w:rPr>
        <w:t>（五）记账中的常见差错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pPr>
        <w:pStyle w:val="Heading3"/>
      </w:pPr>
      <w:r>
        <w:t>四、AI操作：让AI整理明细表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小周按照表5-2重新计算后，将利润从2650元修正为2910元。财务主管要求她在报告中说明三点：收入、销货成本、费用各是多少；期末存货是多少，它为什么不计入利润；核对的结果是否与采购金额一致。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何提出一个问题：“摊位的宣传和包装费一共70元，书签每个卖1元，成本0.5元，我们至少要卖多少个书签，才能把这70元收回来？”社长李想想了想，回答：“卖够140个吧。”小何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ind w:firstLine="0"/>
      </w:pP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【通识】保本销售量，是指收入正好能够覆盖全部成本与费用时的销售数量。在这一数量上，利润为零；在价格、单位变动成本及销售结构等假设不变时，销量超过保本量才会盈利，低于保本量则会亏损。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中，校园线的70元固定费用按一次义卖活动计算；青禾文具的1200元固定费用按一个月计算，保本量分别对应这次活动和一个月的销量。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三、固定费用的分摊、价格变化与保本分析的局限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/>
      <w:r>
        <w:rPr>
          <w:rFonts w:ascii="黑体" w:hAnsi="黑体" w:eastAsia="黑体"/>
          <w:b/>
        </w:rPr>
        <w:t>（二）价格变化对保本量的影响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/>
      <w:r>
        <w:rPr>
          <w:rFonts w:ascii="黑体" w:hAnsi="黑体" w:eastAsia="黑体"/>
          <w:b/>
        </w:rPr>
        <w:t>（三）固定费用与变动费用的区分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的基准示例为简化计算，把70元全部作为固定费用，书签保本量为70÷(1−0.5)=140个。若假设每个书签使用一个0.2元的包装袋，并将原费用中的40元包装袋费改按变动成本处理，固定费用只保留海报30元；此时单位边际贡献为1−0.5−0.2=0.3元，保本量为30÷0.3=100个。两种口径对应不同假设，不能把包装袋费用既计入固定费用、又作为单位变动成本重复扣除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/>
      <w:r>
        <w:rPr>
          <w:rFonts w:ascii="黑体" w:hAnsi="黑体" w:eastAsia="黑体"/>
          <w:b/>
        </w:rPr>
        <w:t>（四）保本分析的局限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pPr>
        <w:pStyle w:val="Heading3"/>
      </w:pPr>
      <w:r>
        <w:t>四、AI操作：用AI计算保本销售量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小何用表5-3的方法算出，书签需要卖140个才能覆盖70元的宣传与包装费。李想想看到这个结果后，决定把书签的目标数量定为150个，略高于保本量，以留出余地。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想看到这份材料，觉得数字很大，也很开心，但财务干事小何提出了疑问：“250元是怎么算出来的？柠檬水的毛利是多少？现有资料能否判断它的净利润最高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ind w:firstLine="0"/>
      </w:pP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图5-4比较义卖摊三类商品的毛利率。旧书按本例的简化义卖口径未分配采购成本，因此毛利率为100%；书签为50%，即收入170元、销货成本85元、毛利85元；柠檬水为40%，即收入180元、销货成本108元、毛利72元。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说明，柠檬水的收入最高，但毛利率最低，因为它的原料成本较高。如果只看收入，会认为柠檬水最赚钱；看毛利率，书签的毛利率高于柠檬水。本例的70元费用未按商品分配，因此只能比较商品毛利和毛利率，不能据此断定哪一类商品的净利润最高。这正是复盘需要说明口径的原因。</w:t>
      </w:r>
    </w:p>
    <w:p>
      <w:pPr>
        <w:pStyle w:val="Heading3"/>
      </w:pPr>
      <w:r>
        <w:t>三、复盘中的常见错误与复盘报告的组织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/>
      <w:r>
        <w:rPr>
          <w:rFonts w:ascii="黑体" w:hAnsi="黑体" w:eastAsia="黑体"/>
          <w:b/>
        </w:rPr>
        <w:t>（二）复盘报告的基本结构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列示各类商品毛利与毛利率，并说明旧书虽因捐赠而毛利率为100%，但费用未分摊，不能据此判断单品净利润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/>
      <w:r>
        <w:rPr>
          <w:rFonts w:ascii="黑体" w:hAnsi="黑体" w:eastAsia="黑体"/>
          <w:b/>
        </w:rPr>
        <w:t>（三）AI结论的三类问题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/>
      <w:r>
        <w:rPr>
          <w:rFonts w:ascii="黑体" w:hAnsi="黑体" w:eastAsia="黑体"/>
          <w:b/>
        </w:rPr>
        <w:t>（四）复盘会议的组织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pPr>
        <w:pStyle w:val="Heading3"/>
      </w:pPr>
      <w:r>
        <w:t>四、AI操作：让AI复盘，并逐项核对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柠檬水毛利（AI误称利润）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本例简化口径未为捐赠旧书分配采购成本，毛利率按100%列示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1.对表5-1的数据，计算三类商品的毛利率，说明毛利率差异，并指出为什么不能据此判断单品净利润最高。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任务5.1 拓展：前面的计算假设售出的商品都是完好的</w:t>
      </w:r>
    </w:p>
    <w:p>
      <w:pPr>
        <w:pStyle w:val="Heading3"/>
      </w:pPr>
      <w:r>
        <w:t>任务5.2 拓展：当一个摊位同时销售多种商品时</w:t>
      </w:r>
    </w:p>
    <w:p>
      <w:pPr>
        <w:pStyle w:val="Heading3"/>
      </w:pPr>
      <w:r>
        <w:t>任务5.3 拓展：比较不同活动或不同批次的利润时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rPr>
          <w:rFonts w:ascii="Times New Roman" w:hAnsi="Times New Roman" w:cs="Times New Roman" w:eastAsia="宋体"/>
          <w:b w:val="0"/>
          <w:sz w:val="24"/>
        </w:rPr>
        <w:t>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在前述将70元全部按固定费用处理的假设下，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任务5.1 拓展：分批进货与销货成本计价</w:t>
      </w:r>
    </w:p>
    <w:p>
      <w:r>
        <w:t>前面的计算中，我们默认每一批商品的单位成本相同。实际经营中，同一种商品可能分批进货，单价不同，这时就需要确定销货成本的计算方法。这里用两种常见方法说明：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