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-2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图9-2　头脑风暴的三个阶段与记录要求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r>
        <w:rPr>
          <w:b/>
        </w:rPr>
        <w:t>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-3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知识共享协议是一套常用的标准化公开许可，它通过几个条件组合，说明作品可以如何被使用。表9-2列出了几种常见的组合及其主要要求。使用时，应当严格按照协议的条件执行，例如CC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表9-2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r>
        <w:rPr>
          <w:b/>
        </w:rPr>
        <w:t>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-4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HTML文档通常由两个部分组成：head与body。head中存放页面的元信息，例如标题、字符编码与样式；body中存放用户在页面上实际看到的内容。表9-3列出了制作个人作品网页时最常用的标签。</w:t>
      </w:r>
    </w:p>
    <w:p>
      <w:pPr>
        <w:jc w:val="center"/>
      </w:pPr>
      <w:r>
        <w:rPr>
          <w:b/>
          <w:sz w:val="21"/>
        </w:rPr>
        <w:t>表9-3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#CCCCCC”则表示设置一条宽度为1像素、实线、颜色为浅灰色的边框。表9-4列出了几个常用的属性。</w:t>
      </w:r>
    </w:p>
    <w:p>
      <w:pPr>
        <w:jc w:val="center"/>
      </w:pPr>
      <w:r>
        <w:rPr>
          <w:b/>
          <w:sz w:val="21"/>
        </w:rPr>
        <w:t>表9-4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r>
        <w:rPr>
          <w:b/>
        </w:rPr>
        <w:t>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取消栏目之间的左右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r>
        <w:rPr>
          <w:b/>
        </w:rPr>
        <w:t>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-5给出了一种记录格式。</w:t>
      </w:r>
    </w:p>
    <w:p>
      <w:r>
        <w:rPr>
          <w:b/>
        </w:rPr>
        <w:t>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表9-5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-5展示了这一循环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受众测试与迭代修改的循环（示意）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【练习】请邀请两位不同背景的同学完成一个具体任务，观察并记录他们的过程，按照表9-5的格式整理问题，并把问题按严重程度排序，写出修改的先后顺序。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实训可以按照“先定目标，再做素材，再做网页，最后测试”的顺序进行。若顺序颠倒，常见的结果是在网页完成之后才发现素材不能使用，只能推倒重来。图9-6概括了实训的主要流程。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创意作品网页实训的主要流程（示例）</w:t>
      </w:r>
    </w:p>
    <w:p>
      <w:pPr>
        <w:ind w:firstLine="420"/>
      </w:pPr>
      <w:r>
        <w:t>实训的评价可以参考表9-6所示的量规。评价不仅关注网页的外观，更关注作品的结构是否清楚、素材是否合法、说明是否如实，以及修改是否有依据。</w:t>
      </w:r>
    </w:p>
    <w:p>
      <w:pPr>
        <w:jc w:val="center"/>
      </w:pPr>
      <w:r>
        <w:rPr>
          <w:b/>
          <w:sz w:val="21"/>
        </w:rPr>
        <w:t>表9-6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r>
        <w:rPr>
          <w:b/>
        </w:rPr>
        <w:t>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-2的格式）、一份可以在浏览器中打开的网页文件及其素材文件夹、一份受众测试记录（表9-5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