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 xml:space="preserve">【案例续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通知中补全信息的核对过程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各社团：经研究，定于2026年11月12日（周三）下午2点在图书馆报告厅举办……负责人：张某某老师。”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公文与通知的起草与核对流程</w:t>
      </w:r>
    </w:p>
    <w:p>
      <w:pPr>
        <w:ind w:firstLine="420"/>
      </w:pPr>
      <w:r>
        <w:rPr>
          <w:b w:val="0"/>
        </w:rP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价值自评：你是否曾经直接采用过AI补全的文号、日期或姓名？如果收件人问起来源，你能说清楚吗？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 xml:space="preserve">【常见误区】有人认为，格式正确的通知就是可靠的通知。实际上，格式只说明文字的形式，一份格式完美的通知，如果其中的日期或文号是虚构的，它依然是错误的。</w:t>
      </w:r>
    </w:p>
    <w:p>
      <w:pPr>
        <w:ind w:firstLine="420"/>
      </w:pPr>
      <w:r>
        <w:rPr>
          <w:b w:val="0"/>
        </w:rPr>
        <w:t xml:space="preserve">【练习】请选择一份你收到或起草过的通知，逐项核对文号、日期、负责人与数据是否都能在原始材料中找到，找不到的请标注出来。</w:t>
      </w:r>
    </w:p>
    <w:p>
      <w:pPr>
        <w:ind w:firstLine="420"/>
      </w:pPr>
      <w:r>
        <w:rPr>
          <w:b w:val="0"/>
        </w:rPr>
        <w:t xml:space="preserve">小结：3.1节的核心是“格式服务于事实”。公文与通知的格式让读者准确地知道谁、何时、要做什么，而每一个要素都必须真实可查。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 xml:space="preserve">【案例续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课程论文大纲的核实过程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〔待补：引用一篇已核实的综述〕</w:t>
      </w:r>
    </w:p>
    <w:p>
      <w:pPr>
        <w:ind w:firstLine="420"/>
      </w:pPr>
      <w:r>
        <w:rPr>
          <w:b w:val="0"/>
        </w:rPr>
        <w:t>### （二）研究问题 〔待补：限定为本校学生样本〕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价值自评：你是否引用过一篇自己没有读过的文献？如果老师问你其中的一个观点，你能够说清楚吗？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 xml:space="preserve">【常见误区】有人认为，只要大纲的层级清楚，论文的内容就可靠。实际上，层级只说明结构，大纲中的每一条参考文献与论断，仍然需要逐一核对来源。</w:t>
      </w:r>
    </w:p>
    <w:p>
      <w:pPr>
        <w:ind w:firstLine="420"/>
      </w:pPr>
      <w:r>
        <w:rPr>
          <w:b w:val="0"/>
        </w:rPr>
        <w:t xml:space="preserve">【练习】请为你的一份课程论文写出大纲，并为每一条参考文献标注检索来源，检查它是否确实支持所引用的观点。</w:t>
      </w:r>
    </w:p>
    <w:p>
      <w:pPr>
        <w:ind w:firstLine="420"/>
      </w:pPr>
      <w:r>
        <w:rPr>
          <w:b w:val="0"/>
        </w:rPr>
        <w:t xml:space="preserve">小结：3.2节的核心是“结构清楚，来源可查”。Markdown标题层级能够帮助组织论文与报告，但大纲中的每一条文献与论断，都应当经过核对。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 xml:space="preserve">【案例续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推送文案中数字的来源核对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多版本文案的比对流程</w:t>
      </w:r>
    </w:p>
    <w:p>
      <w:pPr>
        <w:ind w:firstLine="420"/>
      </w:pPr>
      <w:r>
        <w:rPr>
          <w:b w:val="0"/>
        </w:rP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价值自评：你是否在宣传中写过一句自己无法证明的话？如果读者要求你提供依据，你能拿出来吗？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 xml:space="preserve">【常见误区】有人认为，只要文案风格不同，内容就可以随之变化。实际上，风格可以变，事实不能变；版本中出现清单之外的数字、承诺或绝对化用语，都需要删除或核实。</w:t>
      </w:r>
    </w:p>
    <w:p>
      <w:pPr>
        <w:ind w:firstLine="420"/>
      </w:pPr>
      <w:r>
        <w:rPr>
          <w:b w:val="0"/>
        </w:rPr>
        <w:t xml:space="preserve">【练习】请为同一份事实清单生成两个风格不同的文案版本，逐一比对两个版本中的数字、时间与承诺，确认它们与清单一致。</w:t>
      </w:r>
    </w:p>
    <w:p>
      <w:pPr>
        <w:ind w:firstLine="420"/>
      </w:pPr>
      <w:r>
        <w:rPr>
          <w:b w:val="0"/>
        </w:rPr>
        <w:t xml:space="preserve">小结：3.3节的核心是“风格可变，事实不变”。多版本对比能够帮助我们选择合适的表达方式，但每个版本都必须以同一份事实清单为依据。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-10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实训的基本流程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-10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文号、日期与负责人修正2处；删除无来源数字1处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小何后来在社团的工作总结中写道：“AI帮我省下了写草稿的时间，但是否发出，要看每一个数字能不能查到。”这句话概括了本章的基本原则。图3-11概括了本章的工作流程。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本章工作流程小结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