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思维导图（学习目标）：与知识图谱同样式，中心为“本项目学习目标”，三目标（知识、能力、素养）为任务节点。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人物统一为小何（年轻女大学生，肩长黑发、黄色发夹、圆框眼镜、浅蓝连帽衫、蓝色牛仔裤、白色运动鞋），线描加淡彩，白底，画面不含文字、数字和可辨认的标识。人物的服装与发型不得随项目变化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八、现状（2026-10-27）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项目2：`项目2_范例_v3.docx`，已补人物场景图（图2-2），图2-4 预算执行闭环已闭合，版式已统一。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项目3：`项目3_范例_v3.docx`，图3-1 至 图3-10 已统一样式，人物场景图2张，知识图谱在项目总结。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项目4：`项目4_范例_v3.docx`，版式已统一。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项目13.3：`项目13_任务13.3_财务数据的保密与脱敏_v3.docx`，人物场景图图13-1，版式已统一。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待办：项目1 导论及其他任务尚未写；各项目的“校园线、职业线”小标题尚未设为黑体加粗（当前为正文字号），需在下一次生成前统一。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