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B7F00">
      <w:pPr>
        <w:spacing w:before="1200"/>
        <w:rPr>
          <w:rFonts w:ascii="方正公文小标宋" w:hAnsi="方正公文小标宋" w:eastAsia="方正公文小标宋" w:cs="方正公文小标宋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sz w:val="36"/>
          <w:szCs w:val="36"/>
        </w:rPr>
        <w:t>附件</w:t>
      </w:r>
    </w:p>
    <w:p w14:paraId="0D4BC653">
      <w:pPr>
        <w:spacing w:before="1200"/>
      </w:pPr>
    </w:p>
    <w:p w14:paraId="65CF14B1">
      <w:pPr>
        <w:spacing w:after="1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OPC方向教材建设</w:t>
      </w:r>
    </w:p>
    <w:p w14:paraId="17E5E9CD">
      <w:pPr>
        <w:spacing w:after="400"/>
        <w:jc w:val="center"/>
        <w:rPr>
          <w:rFonts w:eastAsia="方正公文小标宋" w:cs="方正公文小标宋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方正公文小标宋" w:cs="方正公文小标宋"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申 报 表</w:t>
      </w:r>
      <w:bookmarkEnd w:id="0"/>
    </w:p>
    <w:p w14:paraId="119317B1">
      <w:pPr>
        <w:spacing w:before="600"/>
      </w:pPr>
    </w:p>
    <w:tbl>
      <w:tblPr>
        <w:tblStyle w:val="2"/>
        <w:tblW w:w="7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553"/>
      </w:tblGrid>
      <w:tr w14:paraId="7BE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3102" w:type="dxa"/>
            <w:vAlign w:val="center"/>
          </w:tcPr>
          <w:p w14:paraId="3A646C03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项  目  </w:t>
            </w:r>
            <w:r>
              <w:rPr>
                <w:rFonts w:eastAsia="黑体"/>
                <w:color w:val="auto"/>
                <w:sz w:val="32"/>
                <w:szCs w:val="32"/>
              </w:rPr>
              <w:t>领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域</w:t>
            </w:r>
          </w:p>
        </w:tc>
        <w:tc>
          <w:tcPr>
            <w:tcW w:w="4553" w:type="dxa"/>
            <w:vAlign w:val="center"/>
          </w:tcPr>
          <w:p w14:paraId="6B19AC40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☑ OPC通识教育类</w:t>
            </w:r>
          </w:p>
          <w:p w14:paraId="77805409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OPC专业应用类</w:t>
            </w:r>
          </w:p>
          <w:p w14:paraId="1124E531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OPC创新创业类</w:t>
            </w:r>
          </w:p>
          <w:p w14:paraId="4F794F75">
            <w:pPr>
              <w:overflowPunct w:val="0"/>
              <w:rPr>
                <w:rFonts w:eastAsia="黑体"/>
                <w:color w:val="auto"/>
                <w:sz w:val="28"/>
                <w:szCs w:val="28"/>
              </w:rPr>
            </w:pPr>
            <w:r>
              <w:rPr>
                <w:rFonts w:eastAsia="黑体"/>
                <w:color w:val="auto"/>
                <w:sz w:val="28"/>
                <w:szCs w:val="28"/>
              </w:rPr>
              <w:sym w:font="Wingdings" w:char="00A8"/>
            </w:r>
            <w:r>
              <w:rPr>
                <w:rFonts w:eastAsia="黑体"/>
                <w:color w:val="auto"/>
                <w:sz w:val="28"/>
                <w:szCs w:val="28"/>
              </w:rPr>
              <w:t>☐ OPC实训实战类</w:t>
            </w:r>
          </w:p>
        </w:tc>
      </w:tr>
      <w:tr w14:paraId="3814D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6A4A2947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教  材  名  称</w:t>
            </w:r>
          </w:p>
        </w:tc>
        <w:tc>
          <w:tcPr>
            <w:tcW w:w="4553" w:type="dxa"/>
            <w:vAlign w:val="center"/>
          </w:tcPr>
          <w:p w14:paraId="17BA0768">
            <w:pPr>
              <w:overflowPunct w:val="0"/>
              <w:rPr>
                <w:color w:val="auto"/>
                <w:sz w:val="28"/>
                <w:szCs w:val="28"/>
              </w:rPr>
            </w:pPr>
            <w:r>
              <w:rPr>
                <w:sz w:val="21"/>
              </w:rPr>
              <w:t>人工智能职业素养</w:t>
            </w:r>
          </w:p>
        </w:tc>
      </w:tr>
      <w:tr w14:paraId="7043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3102" w:type="dxa"/>
            <w:vAlign w:val="center"/>
          </w:tcPr>
          <w:p w14:paraId="016B8159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hint="eastAsia" w:eastAsia="黑体"/>
                <w:color w:val="auto"/>
                <w:sz w:val="32"/>
                <w:szCs w:val="32"/>
              </w:rPr>
              <w:t>申报单位</w:t>
            </w:r>
            <w:r>
              <w:rPr>
                <w:rFonts w:eastAsia="黑体"/>
                <w:color w:val="auto"/>
                <w:sz w:val="32"/>
                <w:szCs w:val="32"/>
              </w:rPr>
              <w:t>（盖章）</w:t>
            </w:r>
          </w:p>
        </w:tc>
        <w:tc>
          <w:tcPr>
            <w:tcW w:w="4553" w:type="dxa"/>
            <w:vAlign w:val="center"/>
          </w:tcPr>
          <w:p w14:paraId="0B77068F">
            <w:pPr>
              <w:overflowPunct w:val="0"/>
              <w:rPr>
                <w:color w:val="auto"/>
                <w:sz w:val="28"/>
                <w:szCs w:val="28"/>
              </w:rPr>
            </w:pPr>
            <w:r>
              <w:rPr>
                <w:sz w:val="21"/>
              </w:rPr>
              <w:t>石家庄邮电职业技术学院</w:t>
            </w:r>
          </w:p>
        </w:tc>
      </w:tr>
      <w:tr w14:paraId="76484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3102" w:type="dxa"/>
            <w:vAlign w:val="center"/>
          </w:tcPr>
          <w:p w14:paraId="56E963FF">
            <w:pPr>
              <w:overflowPunct w:val="0"/>
              <w:jc w:val="center"/>
              <w:rPr>
                <w:rFonts w:eastAsia="黑体"/>
                <w:color w:val="auto"/>
                <w:sz w:val="32"/>
                <w:szCs w:val="32"/>
              </w:rPr>
            </w:pPr>
            <w:r>
              <w:rPr>
                <w:rFonts w:eastAsia="黑体"/>
                <w:color w:val="auto"/>
                <w:sz w:val="32"/>
                <w:szCs w:val="32"/>
              </w:rPr>
              <w:t>填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日</w:t>
            </w:r>
            <w:r>
              <w:rPr>
                <w:rFonts w:hint="eastAsia" w:eastAsia="黑体"/>
                <w:color w:val="auto"/>
                <w:sz w:val="32"/>
                <w:szCs w:val="32"/>
              </w:rPr>
              <w:t xml:space="preserve">  </w:t>
            </w:r>
            <w:r>
              <w:rPr>
                <w:rFonts w:eastAsia="黑体"/>
                <w:color w:val="auto"/>
                <w:sz w:val="32"/>
                <w:szCs w:val="32"/>
              </w:rPr>
              <w:t>期</w:t>
            </w:r>
          </w:p>
        </w:tc>
        <w:tc>
          <w:tcPr>
            <w:tcW w:w="4553" w:type="dxa"/>
            <w:vAlign w:val="center"/>
          </w:tcPr>
          <w:p w14:paraId="7D4FB7BA">
            <w:pPr>
              <w:overflowPunct w:val="0"/>
              <w:rPr>
                <w:color w:val="auto"/>
                <w:sz w:val="28"/>
                <w:szCs w:val="28"/>
              </w:rPr>
            </w:pPr>
          </w:p>
        </w:tc>
      </w:tr>
    </w:tbl>
    <w:p w14:paraId="54B94CAF">
      <w:pPr>
        <w:spacing w:before="600"/>
      </w:pPr>
    </w:p>
    <w:p w14:paraId="71A183EA">
      <w:pPr>
        <w:spacing w:before="600"/>
      </w:pPr>
    </w:p>
    <w:p w14:paraId="0D3A01F4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国家开放大学出版社制</w:t>
      </w:r>
    </w:p>
    <w:p w14:paraId="5884032D">
      <w:pPr>
        <w:spacing w:after="200"/>
        <w:jc w:val="center"/>
        <w:rPr>
          <w:rFonts w:ascii="方正仿宋_GB2312" w:hAnsi="方正仿宋_GB2312" w:eastAsia="方正仿宋_GB2312" w:cs="方正仿宋_GB2312"/>
          <w:b/>
          <w:bCs/>
          <w:color w:val="333333"/>
          <w:sz w:val="28"/>
          <w:szCs w:val="28"/>
        </w:rPr>
      </w:pPr>
      <w:r>
        <w:rPr>
          <w:rFonts w:hint="eastAsia" w:ascii="方正仿宋_GB2312" w:hAnsi="方正仿宋_GB2312" w:eastAsia="方正仿宋_GB2312" w:cs="方正仿宋_GB2312"/>
          <w:b/>
          <w:bCs/>
          <w:color w:val="333333"/>
          <w:sz w:val="28"/>
          <w:szCs w:val="28"/>
        </w:rPr>
        <w:t>2026年9月</w:t>
      </w:r>
    </w:p>
    <w:p w14:paraId="189D9C7E">
      <w:r>
        <w:br w:type="page"/>
      </w:r>
    </w:p>
    <w:p w14:paraId="0CFF941F">
      <w:pPr>
        <w:spacing w:before="6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2586"/>
        <w:gridCol w:w="1575"/>
        <w:gridCol w:w="2590"/>
      </w:tblGrid>
      <w:tr w14:paraId="2F61E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14ED9A97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一、基本信息</w:t>
            </w:r>
          </w:p>
        </w:tc>
      </w:tr>
      <w:tr w14:paraId="6876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4643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教材名称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055DF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人工智能职业素养</w:t>
            </w:r>
          </w:p>
        </w:tc>
      </w:tr>
      <w:tr w14:paraId="1FB16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B7E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OPC建设方向</w:t>
            </w:r>
          </w:p>
        </w:tc>
        <w:tc>
          <w:tcPr>
            <w:tcW w:w="4053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DCD6CFD">
            <w:pPr>
              <w:spacing w:before="4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☑ OPC通识教育类　☐ OPC专业应用类　☐ OPC创新创业类　☐ OPC实训实战类</w:t>
            </w:r>
          </w:p>
        </w:tc>
      </w:tr>
      <w:tr w14:paraId="358E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3F26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主编姓名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36B9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薛辉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12AB4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职称/职务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FCD7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讲师</w:t>
            </w:r>
          </w:p>
        </w:tc>
      </w:tr>
      <w:tr w14:paraId="56EAC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E2B0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所属院校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E5C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石家庄邮电职业技术学院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C21F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所属系部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9F17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会计学院（会计系）</w:t>
            </w:r>
          </w:p>
        </w:tc>
      </w:tr>
      <w:tr w14:paraId="2D0A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94E7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24E3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18332128207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6E23E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电子邮箱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05DB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891054002@qq.com</w:t>
            </w:r>
          </w:p>
        </w:tc>
      </w:tr>
      <w:tr w14:paraId="1956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EFA09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适用专业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F3D3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全校各专业（公共基础课）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4A511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适用层次（高职/职本）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729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高职</w:t>
            </w:r>
          </w:p>
        </w:tc>
      </w:tr>
      <w:tr w14:paraId="46108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9B53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预估使用规模</w:t>
            </w:r>
          </w:p>
        </w:tc>
        <w:tc>
          <w:tcPr>
            <w:tcW w:w="15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D85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待填</w:t>
            </w:r>
          </w:p>
        </w:tc>
        <w:tc>
          <w:tcPr>
            <w:tcW w:w="9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12B0C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是否校企合编（是/否）</w:t>
            </w:r>
          </w:p>
        </w:tc>
        <w:tc>
          <w:tcPr>
            <w:tcW w:w="1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66C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待填</w:t>
            </w:r>
          </w:p>
        </w:tc>
      </w:tr>
    </w:tbl>
    <w:p w14:paraId="793E6E4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2AA3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2B9C9C2C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二、OPC方向定位与特色</w:t>
            </w:r>
          </w:p>
        </w:tc>
      </w:tr>
      <w:tr w14:paraId="2A42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1EAF7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2.1 OPC方向契合度说明</w:t>
            </w:r>
          </w:p>
          <w:p>
            <w:pPr>
              <w:spacing w:after="60"/>
            </w:pPr>
            <w:r>
              <w:rPr>
                <w:sz w:val="21"/>
              </w:rPr>
              <w:t xml:space="preserve">本教材属于 OPC 通识教育类教材，面向全校各专业在校大学生和初入职场人员，适用于各专业学生通用的通识课程。OPC 即一人公司（One Person Company），在人工智能时代指由一名核心创业者主导、借助 AI 工具独立完成从产品设计到市场交付的创业形态；征稿通知以“人工智能+创新创业”概括这一方向。本书以人工智能素养与职业素养为主线，帮助学生在求职、入职和初步创业的真实情境中，学会负责任地使用大模型与智能体，形成独立运用 AI 综合工具完成职业任务的能力。</w:t>
            </w:r>
          </w:p>
          <w:p>
            <w:pPr>
              <w:spacing w:after="60"/>
            </w:pPr>
            <w:r>
              <w:rPr>
                <w:sz w:val="21"/>
              </w:rPr>
              <w:t xml:space="preserve">对接冀教高函〔2026〕45号文件：一是落实“通识课须帮助学生掌握大模型基本原理、AI工具使用方法、智能体开发基础知识”的要求，第1至4项目讲解大模型原理与局限，训练 AI 工具使用，并用低代码平台搭建智能体；二是落实“课程+训练+实战”进阶模式，第1至4项目为课程，第5至9项目为训练，第10至13项目为实战；三是落实“活页式、案例式、项目式”编写要求，全书以任务单、核验表、留痕表等活页工单组织项目。</w:t>
            </w:r>
          </w:p>
          <w:p>
            <w:pPr>
              <w:spacing w:after="60"/>
            </w:pPr>
            <w:r>
              <w:rPr>
                <w:sz w:val="21"/>
              </w:rPr>
              <w:t xml:space="preserve">每个项目设置一个思政引领点，围绕 AI 的使用、责任与影响展开，例如 AI 责任归属、防范 AI 诈骗、数据安全、AI 生成内容标注、AI 成果权属等，通过任务情境、核验清单和留痕表融入教学，不另设说教章节。</w:t>
            </w:r>
          </w:p>
        </w:tc>
      </w:tr>
      <w:tr w14:paraId="42281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E7B01F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2.2 AI工具与技术融入方案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1. 大模型原理与提示词：</w:t>
            </w:r>
            <w:r>
              <w:rPr>
                <w:sz w:val="21"/>
              </w:rPr>
              <w:t xml:space="preserve">讲解大模型的生成过程与局限，训练结构化提示词，用于简历润色、岗位分析与面试模拟（第1、3、4项目）。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2. 智能体开发基础（低代码）：</w:t>
            </w:r>
            <w:r>
              <w:rPr>
                <w:sz w:val="21"/>
              </w:rPr>
              <w:t xml:space="preserve">讲解智能体的感知、决策、工具、记忆四个组件，并在低代码平台配置“面试陪练”“工作日志”智能体，设置触发条件与需人工确认的步骤，学生不编写代码（第4、7、9项目）。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3. RAG 知识库：</w:t>
            </w:r>
            <w:r>
              <w:rPr>
                <w:sz w:val="21"/>
              </w:rPr>
              <w:t xml:space="preserve">将学校保密制度、内容标注规则和一人公司合规要求整理为知识库，智能体回答须给出出处，学生核对出处是否准确（第5、6、12项目）。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4. 多模态识别：</w:t>
            </w:r>
            <w:r>
              <w:rPr>
                <w:sz w:val="21"/>
              </w:rPr>
              <w:t xml:space="preserve">识别招聘截图、合同截图和工作材料，输出结构化信息（第2项目）。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5. 工作流编排：</w:t>
            </w:r>
            <w:r>
              <w:rPr>
                <w:sz w:val="21"/>
              </w:rPr>
              <w:t xml:space="preserve">串联“收集资料—AI整理—人工核验—记录”环节（第9、11、13项目）。</w:t>
            </w:r>
          </w:p>
          <w:p>
            <w:pPr>
              <w:spacing w:after="60"/>
            </w:pPr>
            <w:r>
              <w:rPr>
                <w:sz w:val="21"/>
              </w:rPr>
              <w:t xml:space="preserve">所有 AI 输出均需人工核验，关键结论写入留痕表。教学数据采用虚构或脱敏材料，不标注具体工具版本号。</w:t>
            </w:r>
          </w:p>
        </w:tc>
      </w:tr>
      <w:tr w14:paraId="31EAB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037778A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2.3 产教融合与企业案例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1. 案例来源：</w:t>
            </w:r>
            <w:r>
              <w:rPr>
                <w:sz w:val="21"/>
              </w:rPr>
              <w:t xml:space="preserve">案例覆盖行政、销售、工程、建设、咨询、财税等多个行业，均为脱敏改写的真实工作情境。学生将参与真实文档的整理与标注任务，案例数据须经合作方书面授权后方可使用。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2. 法律审核：</w:t>
            </w:r>
            <w:r>
              <w:rPr>
                <w:sz w:val="21"/>
              </w:rPr>
              <w:t xml:space="preserve">邀请一名执业律师（合伙人）审核第8项目“AI成果权属”和第12项目“AI创业合规”中的条款与规则。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3. 校企合作：</w:t>
            </w:r>
            <w:r>
              <w:rPr>
                <w:sz w:val="21"/>
              </w:rPr>
              <w:t xml:space="preserve">合作企业已同意派出人员参与，提供多行业的脱敏案例，并核对第5、9、11、12、13项目的业务场景与规则。律师已同意参与第8、12项目的审核。教材案例与内容由主编编写。第1至4、6、7项目依据公开的招聘、劳动合规与留痕规范编写，不依赖企业人员。</w:t>
            </w:r>
          </w:p>
        </w:tc>
      </w:tr>
      <w:tr w14:paraId="2500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0B20E4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2.4 OPC方向特色自评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关键词：</w:t>
            </w:r>
            <w:r>
              <w:rPr>
                <w:sz w:val="21"/>
              </w:rPr>
              <w:t xml:space="preserve">人工智能素养　AI责任　职业素养　人工核验　留痕可追溯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理由简述：</w:t>
            </w:r>
            <w:r>
              <w:rPr>
                <w:sz w:val="21"/>
              </w:rPr>
              <w:t xml:space="preserve">全书围绕学生求职、入职和初步创业中的真实情境，AI 承担识别、整理和模拟，学生负责判断、核实并承担结果责任，学习成果以可交付的记录表和计划书呈现。</w:t>
            </w:r>
          </w:p>
        </w:tc>
      </w:tr>
    </w:tbl>
    <w:p w14:paraId="56DDA696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26"/>
      </w:tblGrid>
      <w:tr w14:paraId="03EBA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96DE17A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三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、编写方案</w:t>
            </w:r>
          </w:p>
        </w:tc>
      </w:tr>
      <w:tr w14:paraId="3EEF9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1B9881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.1 教材编写大纲（章节结构）</w:t>
            </w:r>
          </w:p>
          <w:p>
            <w:pPr>
              <w:spacing w:after="60"/>
            </w:pPr>
            <w:r>
              <w:rPr>
                <w:sz w:val="21"/>
              </w:rPr>
              <w:t xml:space="preserve">全书13个项目，建议48学时。每个项目按“提出问题—AI处理—人工核验—留痕”组织，设一个思政引领点。理论讲解每个项目不超过1学时，其余为操作与核验。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项目1 AI责任边界（4学时）：</w:t>
            </w:r>
            <w:r>
              <w:rPr>
                <w:sz w:val="21"/>
              </w:rPr>
              <w:t xml:space="preserve">AI讲解大模型原理与局限，列出可委托任务；学生判断哪些必须本人负责。思政：AI 输出的责任归属。留痕：任务责任表。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项目2 AI招聘陷阱（4学时）：</w:t>
            </w:r>
            <w:r>
              <w:rPr>
                <w:sz w:val="21"/>
              </w:rPr>
              <w:t xml:space="preserve">AI标注招聘文本中的可疑特征；学生核实企业信息，判断可信度。思政：识别 AI 生成的虚假招聘与诈骗话术。留痕：招聘核验表。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项目3 AI简历与岗位匹配（4学时）：</w:t>
            </w:r>
            <w:r>
              <w:rPr>
                <w:sz w:val="21"/>
              </w:rPr>
              <w:t xml:space="preserve">AI分析岗位要求并润色语句，同时标出与原始经历不符之处；学生核对每条表述的事实依据，并制定能力补足计划。思政：AI 润色不能虚构经历。留痕：简历与依据对照表、能力差距表。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项目4 AI模拟面试（3学时）：</w:t>
            </w:r>
            <w:r>
              <w:rPr>
                <w:sz w:val="21"/>
              </w:rPr>
              <w:t xml:space="preserve">AI扮演面试官提问并给出反馈；学生判断反馈是否合理，修改回答。思政：不盲从 AI 评价，理解其局限与偏见。留痕：面试复盘表。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项目5 AI数据保密（3学时）：</w:t>
            </w:r>
            <w:r>
              <w:rPr>
                <w:sz w:val="21"/>
              </w:rPr>
              <w:t xml:space="preserve">AI依据保密制度知识库标注敏感字段并给出出处；学生确定哪些信息不得输入 AI 工具。思政：数据安全与个人信息保护。留痕：保密清单。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项目6 AI内容标注（3学时）：</w:t>
            </w:r>
            <w:r>
              <w:rPr>
                <w:sz w:val="21"/>
              </w:rPr>
              <w:t xml:space="preserve">AI依据标注规则知识库检查是否标注 AI 生成内容；学生核实来源并补充标注。思政：深度合成内容的标识义务。留痕：标注核对表。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项目7 AI使用留痕与问责（4学时）：</w:t>
            </w:r>
            <w:r>
              <w:rPr>
                <w:sz w:val="21"/>
              </w:rPr>
              <w:t xml:space="preserve">AI整理一次任务中的使用记录，并找出输出中的错误；学生核对记录完整性，撰写更正说明。思政：出错后如实更正。留痕：使用记录表、更正说明。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项目8 AI成果权属（3学时）：</w:t>
            </w:r>
            <w:r>
              <w:rPr>
                <w:sz w:val="21"/>
              </w:rPr>
              <w:t xml:space="preserve">AI检索相似作品并列出相似点；学生判断权利边界，确定署名与归属。思政：尊重原创与训练数据权益。留痕：权属说明表。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项目9 AI人机分工与外包协作（4学时）：</w:t>
            </w:r>
            <w:r>
              <w:rPr>
                <w:sz w:val="21"/>
              </w:rPr>
              <w:t xml:space="preserve">AI整理需求与待办事项，并搭建工作流智能体；学生划分人机分工，核对交付责任，确认责任人。思政：外包交付中披露 AI 使用，责任不因 AI 转移。留痕：分工与交付表。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项目10 AI需求洞察与方案设计（4学时）：</w:t>
            </w:r>
            <w:r>
              <w:rPr>
                <w:sz w:val="21"/>
              </w:rPr>
              <w:t xml:space="preserve">AI辅助发现问题并生成多种方案；学生筛选方案，核验可行性、风险及对不同群体的影响。思政：技术应用的公平与包容。留痕：创新方案表。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项目11 AI一人公司获客与交付（4学时）：</w:t>
            </w:r>
            <w:r>
              <w:rPr>
                <w:sz w:val="21"/>
              </w:rPr>
              <w:t xml:space="preserve">AI辅助选题、内容生成与客服智能体配置；学生核验承诺内容，设定人工审核节点。思政：AI 客服的诚信边界。留痕：获客与交付记录表。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项目12 AI创业合规与收支核算（4学时）：</w:t>
            </w:r>
            <w:r>
              <w:rPr>
                <w:sz w:val="21"/>
              </w:rPr>
              <w:t xml:space="preserve">AI依据合规知识库生成规则草稿并标注出处，辅助整理收支；学生核对相关要求，确定一人公司的使用规则。思政：守法经营，依法纳税。留痕：使用规则手册、收支核对表。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项目13 AI创业计划书与路演（4学时）：</w:t>
            </w:r>
            <w:r>
              <w:rPr>
                <w:sz w:val="21"/>
              </w:rPr>
              <w:t xml:space="preserve">AI辅助整理市场、成本与商业模式信息；学生核实数据来源，完成创业计划书并进行路演。思政：AI 生成数据必须可核实。留痕：创业计划书。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合计：</w:t>
            </w:r>
            <w:r>
              <w:rPr>
                <w:sz w:val="21"/>
              </w:rPr>
              <w:t xml:space="preserve">48学时。课程（1至4项目）、训练（5至9项目）、实战（10至13项目）三阶段进阶。</w:t>
            </w:r>
          </w:p>
        </w:tc>
      </w:tr>
      <w:tr w14:paraId="7BE44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1BBDB9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.2 编写体例与创新特色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体例：</w:t>
            </w:r>
            <w:r>
              <w:rPr>
                <w:sz w:val="21"/>
              </w:rPr>
              <w:t xml:space="preserve">任务驱动。每个项目包含“任务情境—AI处理—人工核验—留痕—复盘”五个环节。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活页式与项目式：</w:t>
            </w:r>
            <w:r>
              <w:rPr>
                <w:sz w:val="21"/>
              </w:rPr>
              <w:t xml:space="preserve">任务单、核验表、留痕表和规则手册均为活页工单，可单独使用。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案例式：</w:t>
            </w:r>
            <w:r>
              <w:rPr>
                <w:sz w:val="21"/>
              </w:rPr>
              <w:t xml:space="preserve">每个项目以求职、入职、创新或创业中的真实情境为原型，案例数据脱敏，注明来源与授权。热点案例（如招聘诈骗、AI生成虚假内容）只作为案例层，每年更新。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职业发展与创业认知：</w:t>
            </w:r>
            <w:r>
              <w:rPr>
                <w:sz w:val="21"/>
              </w:rPr>
              <w:t xml:space="preserve">第10至13项目以一人公司为情境，训练发现问题、验证方案、合规经营与商业计划，学生以规则手册和创业计划书完成全书。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创新特色：</w:t>
            </w:r>
            <w:r>
              <w:rPr>
                <w:sz w:val="21"/>
              </w:rPr>
              <w:t xml:space="preserve">一是以求职、入职和创业中的真实情境为任务，学生可直接运用；二是每个项目设置3至5条可检查的核验标准，要求学生说明AI输出的依据；三是职业责任贯穿全书，AI输出不能直接作为决定，学生对最终结果负责；四是不涉及编程，全部工具为低代码、多模态和大模型助手；五是每个项目标题突出“AI承担识别分析、学生承担评价应用”的分工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课程—训练—实战进阶：</w:t>
            </w:r>
            <w:r>
              <w:rPr>
                <w:sz w:val="21"/>
              </w:rPr>
              <w:t xml:space="preserve">第1至4项目为课程，学习职业责任边界、求职材料与面试；第5至9项目为训练，完成数据保密、内容标注、留痕与问责、成果权属和人机分工；第10至13项目为实战，依次完成方案设计、一人公司获客与交付、创业合规和创业计划书。</w:t>
            </w:r>
          </w:p>
        </w:tc>
      </w:tr>
      <w:tr w14:paraId="1A84D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A06F24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.3 数字化资源配套方案</w:t>
            </w:r>
          </w:p>
          <w:p>
            <w:pPr>
              <w:spacing w:after="60"/>
            </w:pPr>
            <w:r>
              <w:rPr>
                <w:sz w:val="21"/>
              </w:rPr>
              <w:t xml:space="preserve">按“可听、可视、可练、可互动”的要求配套以下资源：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在线课程：</w:t>
            </w:r>
            <w:r>
              <w:rPr>
                <w:sz w:val="21"/>
              </w:rPr>
              <w:t xml:space="preserve">按项目组织的学习路径。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可听：</w:t>
            </w:r>
            <w:r>
              <w:rPr>
                <w:sz w:val="21"/>
              </w:rPr>
              <w:t xml:space="preserve">每个项目配音频讲解，并提供知识卡片的语音版本。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可视：</w:t>
            </w:r>
            <w:r>
              <w:rPr>
                <w:sz w:val="21"/>
              </w:rPr>
              <w:t xml:space="preserve">每个项目配操作演示视频，每段不超过10分钟。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可练：</w:t>
            </w:r>
            <w:r>
              <w:rPr>
                <w:sz w:val="21"/>
              </w:rPr>
              <w:t xml:space="preserve">每个项目配样例数据和练习，练习以提交表格为准。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可互动：</w:t>
            </w:r>
            <w:r>
              <w:rPr>
                <w:sz w:val="21"/>
              </w:rPr>
              <w:t xml:space="preserve">每个项目设置在线问答与投票，支持课堂讨论。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模板资源：</w:t>
            </w:r>
            <w:r>
              <w:rPr>
                <w:sz w:val="21"/>
              </w:rPr>
              <w:t xml:space="preserve">核验表、留痕表、规则手册和创业计划书的电子版模板。</w:t>
            </w:r>
          </w:p>
          <w:p>
            <w:pPr>
              <w:spacing w:after="60"/>
            </w:pPr>
            <w:r>
              <w:rPr>
                <w:sz w:val="21"/>
              </w:rPr>
              <w:t xml:space="preserve">上述资源计划于出版前完成制作。</w:t>
            </w:r>
          </w:p>
        </w:tc>
      </w:tr>
      <w:tr w14:paraId="08DD9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EDF5422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.4 编写进度计划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2026年10月底前：</w:t>
            </w:r>
            <w:r>
              <w:rPr>
                <w:sz w:val="21"/>
              </w:rPr>
              <w:t xml:space="preserve">确定新版目录和13个项目的任务情境，确认校外合作人员的分工。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2026年11月15日前：</w:t>
            </w:r>
            <w:r>
              <w:rPr>
                <w:sz w:val="21"/>
              </w:rPr>
              <w:t xml:space="preserve">确定编写团队与校企合作协议，完成第1、2、4项目样章。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2026年11月25日前：</w:t>
            </w:r>
            <w:r>
              <w:rPr>
                <w:sz w:val="21"/>
              </w:rPr>
              <w:t xml:space="preserve">提交申报材料（截止日期为11月30日）。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入选后第1至3个月：</w:t>
            </w:r>
            <w:r>
              <w:rPr>
                <w:sz w:val="21"/>
              </w:rPr>
              <w:t xml:space="preserve">完成全部13个项目初稿，含任务单、核验表和留痕表。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入选后第4至5个月：</w:t>
            </w:r>
            <w:r>
              <w:rPr>
                <w:sz w:val="21"/>
              </w:rPr>
              <w:t xml:space="preserve">完成定稿，邀请企业专家与执业律师审核，修改定稿。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入选后第6至7个月：</w:t>
            </w:r>
            <w:r>
              <w:rPr>
                <w:sz w:val="21"/>
              </w:rPr>
              <w:t xml:space="preserve">完成数字化资源制作，包括音频、演示视频和在线练习。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入选后第8个月：</w:t>
            </w:r>
            <w:r>
              <w:rPr>
                <w:sz w:val="21"/>
              </w:rPr>
              <w:t xml:space="preserve">提交出版社终稿，出版。（以国开社通知和出版安排为准）</w:t>
            </w:r>
          </w:p>
        </w:tc>
      </w:tr>
    </w:tbl>
    <w:p w14:paraId="79D5CC34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9"/>
        <w:gridCol w:w="1400"/>
        <w:gridCol w:w="1049"/>
        <w:gridCol w:w="2101"/>
        <w:gridCol w:w="2727"/>
      </w:tblGrid>
      <w:tr w14:paraId="22A4D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5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C561579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四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、编写团队</w:t>
            </w:r>
          </w:p>
        </w:tc>
      </w:tr>
      <w:tr w14:paraId="03E43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527CF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薛辉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25AA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讲师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1B2DB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石家庄邮电职业技术学院会计学院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BF55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主编，负责大纲与统稿，编写项目1至13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D37F7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校内</w:t>
            </w:r>
          </w:p>
        </w:tc>
      </w:tr>
      <w:tr w14:paraId="151A1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2B40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李晓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AA4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中级会计师、中级工程师、一级建造师、一级工程咨询师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C61F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河北企富财税管理服务有限公司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F41B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提供财税、工程、建设、咨询等多行业的脱敏案例，核对第5、9、11、12、13项目的业务场景与规则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28B1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企业（已同意派人）</w:t>
            </w:r>
          </w:p>
        </w:tc>
      </w:tr>
      <w:tr w14:paraId="756D2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5E87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程娟娟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A814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执业律师（合伙人），石家庄律师协会第七届民商事专业委员会副主任</w:t>
            </w: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2F58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河北鸿翔（石家庄）律师事务所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EF729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审核第8、12项目的法律条款与规则</w:t>
            </w: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78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1"/>
              </w:rPr>
              <w:t>行业（律师，已同意参与）</w:t>
            </w:r>
          </w:p>
        </w:tc>
      </w:tr>
      <w:tr w14:paraId="74D74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80002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8392D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4D2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6EEA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BFC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17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F779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1EE7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E1F6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D84B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3B4B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270F3E5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78"/>
        <w:gridCol w:w="1247"/>
        <w:gridCol w:w="2501"/>
      </w:tblGrid>
      <w:tr w14:paraId="47ECE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3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718785B6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五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、OPC方向契合度评估（出版社填写）</w:t>
            </w:r>
          </w:p>
        </w:tc>
      </w:tr>
      <w:tr w14:paraId="4C293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119D6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评估维度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F6F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评分（1-5）</w:t>
            </w: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9190A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评审说明</w:t>
            </w:r>
          </w:p>
        </w:tc>
      </w:tr>
      <w:tr w14:paraId="5169A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649F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OPC方向契合度（AI+创新创业融合程度）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980C0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CF51C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FF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38D5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AI工具/技术融入深度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91C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9264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05A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287A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产教融合与校企合作实质性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DDAFE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8F19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7A6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3C2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数字化资源配套完善度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AC48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94747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F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6194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编写团队专业性与企业参与度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767DA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35835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02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F8CC8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市场需求与推广潜力</w:t>
            </w:r>
          </w:p>
        </w:tc>
        <w:tc>
          <w:tcPr>
            <w:tcW w:w="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FAA64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9653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C61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4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2AF7D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综合评分</w:t>
            </w:r>
          </w:p>
        </w:tc>
        <w:tc>
          <w:tcPr>
            <w:tcW w:w="225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05AF5">
            <w:pPr>
              <w:spacing w:before="60" w:after="6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总分 30 分</w:t>
            </w:r>
          </w:p>
        </w:tc>
      </w:tr>
    </w:tbl>
    <w:p w14:paraId="19132D22">
      <w:pPr>
        <w:spacing w:before="200" w:after="100"/>
      </w:pPr>
    </w:p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5"/>
        <w:gridCol w:w="6401"/>
      </w:tblGrid>
      <w:tr w14:paraId="0E3F1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pct"/>
            <w:gridSpan w:val="2"/>
            <w:tcBorders>
              <w:top w:val="single" w:color="000000" w:sz="12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</w:tcPr>
          <w:p w14:paraId="438DB372">
            <w:pPr>
              <w:spacing w:before="80" w:after="8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六</w:t>
            </w:r>
            <w:r>
              <w:rPr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、推荐意见</w:t>
            </w:r>
          </w:p>
        </w:tc>
      </w:tr>
      <w:tr w14:paraId="025FD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861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8870A58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系部推荐意见</w:t>
            </w:r>
          </w:p>
          <w:p w14:paraId="1065AFC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3D855D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283968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447A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FF076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353ADCC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  <w:tr w14:paraId="28BC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083" w:hRule="atLeast"/>
        </w:trPr>
        <w:tc>
          <w:tcPr>
            <w:tcW w:w="5000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0E9117">
            <w:pPr>
              <w:spacing w:before="60"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</w:t>
            </w:r>
            <w:r>
              <w:rPr>
                <w:b/>
                <w:bCs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意见</w:t>
            </w:r>
          </w:p>
          <w:p w14:paraId="6062B75D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D2FA207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694C6C2C">
            <w:pPr>
              <w:spacing w:before="40" w:after="4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77F5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7A5C1">
            <w:pPr>
              <w:spacing w:before="60" w:after="60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B1F63CE">
            <w:pPr>
              <w:spacing w:before="60" w:after="60"/>
              <w:jc w:val="righ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签章：              日期：    年  月  日</w:t>
            </w:r>
          </w:p>
        </w:tc>
      </w:tr>
    </w:tbl>
    <w:p w14:paraId="4E172893"/>
    <w:p w14:paraId="63BC8A1A">
      <w:pPr>
        <w:jc w:val="left"/>
        <w:rPr>
          <w:rFonts w:ascii="方正仿宋_GB2312" w:hAnsi="方正仿宋_GB2312" w:eastAsia="方正仿宋_GB2312" w:cs="方正仿宋_GB2312"/>
          <w:sz w:val="28"/>
          <w:szCs w:val="28"/>
        </w:rPr>
      </w:pPr>
    </w:p>
    <w:p w14:paraId="71B9A829"/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C4B35AD-E2E8-475F-A565-DDA12375959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1CF610F3-300F-41F7-939F-A7B75561C39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3" w:fontKey="{028B4CB4-F329-4CA8-9DFC-09443C1587F4}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0CA889E5-E120-4375-B6BF-69854CCCBD9F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36E5047E-91EF-40CE-8220-F71B13B3B0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396C15"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页，共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NUMPAGES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74D6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CE6BDC"/>
    <w:rsid w:val="58CE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2026-10-08T02:06:00Z</dcterms:created>
  <dc:creator>王鑫鑫</dc:creator>
  <cp:lastModifiedBy>王鑫鑫</cp:lastModifiedBy>
  <dcterms:modified xsi:type="dcterms:W3CDTF">2026-10-08T02:06:47Z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62613E0145E84EBD854702181D3BCB80_11</vt:lpwstr>
  </property>
  <property fmtid="{D5CDD505-2E9C-101B-9397-08002B2CF9AE}" pid="4" name="KSOTemplateDocerSaveRecord">
    <vt:lpwstr>eyJoZGlkIjoiYjQ3YjJlNDgwODcwMTZjZjhjNTRlZGMyYzI4N2U1MjAiLCJ1c2VySWQiOiIxMTMzMTg3ODUyIn0=</vt:lpwstr>
  </property>
</Properties>
</file>