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 xml:space="preserve">在判断某项AI使用是否合规时，可以按四个问题逐一检查：所用的工具是否来自正规的服务；使用的内容是否涉及他人的个人信息或著作权；使用的方式是否符合平台条款与学校规定；输出的内容是否会对外发布，或被用作评价他人的依据。四个问题中只要有一项无法回答，就应当先查清楚，再继续使用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>点题：规范是有层次的，遵守规范的第一步，是知道哪些规范与自己有关。主动查询、主动说明，既是对规则的尊重，也是对团队与公众的负责。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内容标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图12-3　小何为展览海报添加内容标识（卡通示意）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AI生成内容从生成到留存的标识流程（示意）</w:t>
      </w:r>
    </w:p>
    <w:p>
      <w:r>
        <w:rPr>
          <w:b/>
        </w:rPr>
        <w:t xml:space="preserve">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jc w:val="center"/>
      </w:pPr>
      <w:r>
        <w:rPr>
          <w:b/>
          <w:sz w:val="21"/>
        </w:rPr>
        <w:t>表12-4　深度伪造的三类危害与使用者的应对（示例）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危害方向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使用者应当怎样做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侵害个人权益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将他人的面容或声音用于制造虚假言论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不制作、不转发未经本人同意的形象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用于诈骗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冒充亲友的声音要求转账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涉及转账时，通过其他渠道核实对方身份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扩散虚假信息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使真实事件与虚构内容难以区分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转发前先核查来源，不把证据不足的内容当作事实</w:t>
            </w:r>
          </w:p>
        </w:tc>
      </w:tr>
    </w:tbl>
    <w:p>
      <w:pPr>
        <w:jc w:val="center"/>
      </w:pPr>
      <w:r>
        <w:rPr>
          <w:b/>
          <w:sz w:val="21"/>
        </w:rPr>
        <w:t>表12-5　深度伪造的三类危害与使用者的应对（示例）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危害方向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使用者应当怎样做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侵害个人权益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将他人的面容或声音用于制造虚假言论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不制作、不转发未经本人同意的形象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用于诈骗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冒充亲友的声音要求转账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涉及转账时，通过其他渠道核实对方身份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扩散虚假信息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使真实事件与虚构内容难以区分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转发前先核查来源，不把证据不足的内容当作事实</w:t>
            </w:r>
          </w:p>
        </w:tc>
      </w:tr>
    </w:tbl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-5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对来源不明的音视频与图片的基本核查流程（示意）</w:t>
      </w:r>
    </w:p>
    <w:p>
      <w:pPr>
        <w:ind w:firstLine="420"/>
      </w:pPr>
      <w:r>
        <w:t>表12-6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表12-6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 xml:space="preserve">核查AI生成内容时，还应当区分“无法确定”与“确认为假”。无法确定，说明证据不足，应当暂缓采用；确认为假，才需要作出否定的结论。把证据不足当作造假，同样会造成误判，并可能损害无辜者的声誉。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>点题：转发也是一种发布。面对来源不明的内容，先核查、再转发，是每一位使用者都应当承担的基本责任，也是维护信息环境的一种方式。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【练习】请找一张来源不明的图片，按照表12-6的线索进行核查，并写出你的结论以及结论所依据的证据和局限。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-6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真实性与授权核对的讨论，同样提醒我们，生成结果并不等于客观的记录，也可能偏离事实或侵犯他人的权益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 xml:space="preserve">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第十条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 xml:space="preserve">面对偏见问题，使用者可以采取几项具体做法：在提示词中明确要求输出的群体与背景具有多样性；对输出进行分组检查；在筛选、评价等关键环节保留人工复核。这些做法不能彻底消除偏见，但能够使偏见更容易被发现，并减少其造成的影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>点题：AI的结论会继承数据中的不公正。承认偏见的存在，并通过检验与人工复核加以修正，是技术应用中不可缺少的伦理责任。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-7列出了一份完整的AI使用声明通常应当包括的要素。</w:t>
      </w:r>
    </w:p>
    <w:p>
      <w:pPr>
        <w:jc w:val="center"/>
      </w:pPr>
      <w:r>
        <w:rPr>
          <w:b/>
          <w:sz w:val="21"/>
        </w:rPr>
        <w:t>表12-7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 xml:space="preserve">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>较好的声明应当对照表12-7的要素逐项写出：工具名称与版本、使用的环节、AI输出如何被修改与核实，以及作者独立完成的部分。声明不需要很长，但应当使读者能够据此判断作品的形成过程。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pPr>
        <w:ind w:firstLine="420"/>
      </w:pPr>
      <w:r>
        <w:t xml:space="preserve">如果AI在作业中的作用只是帮助查找资料或解释概念，声明同样应当说明，并且最终的引用应当回到原始文献，而不是采用AI的转述。学术规范要求，凡是借用他人的观点，都应当回到原始来源进行引注。AI提供的线索可以帮助我们找到文献，但不能代替对原文的阅读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【练习】请为你最近完成的一份作业或报告，写一份AI使用声明，按照表12-7的要素逐项填写，并检查声明与实际过程是否一致。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实训可以按照图12-7所示的流程进行。与前面的实训一样，这一顺序不宜颠倒。若先写规范、后梳理场景，常见的结果是规范与实际使用脱节，无法真正指导行为。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个人AI使用规范实训的主要流程（示例）</w:t>
      </w:r>
    </w:p>
    <w:p>
      <w:pPr>
        <w:ind w:firstLine="420"/>
      </w:pPr>
      <w:r>
        <w:t>实训的评价可以参考表12-8所示的量规。评价重点关注规范是否针对具体场景、要求是否可以执行、是否有证据表明规范得到了实际运用，以及说明是否如实。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 xml:space="preserve">个人规范还应当定期修订。随着工具的更新、课程要求的变化以及相关规定的调整，原有的规定可能不再适用。建议每学期至少检查一次规范与当前规定是否一致，并在规范中注明修订的日期，使读者能够判断它是否仍然有效。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>点题：伦理原则只有转化为可以执行的规则，才能真正发挥作用。把原则落实到具体操作，是每一个使用者从“知道”走向“做到”的过程。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图12-8　本章结构</w:t>
      </w:r>
    </w:p>
    <w:p>
      <w:pPr>
        <w:ind w:firstLine="420"/>
      </w:pPr>
      <w:r>
        <w:t>图12-9概括了本章的主要知识点及其关系，可以作为复习时的索引。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图12-9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