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r>
        <w:rPr>
          <w:b/>
        </w:rPr>
        <w:t>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r>
        <w:rPr>
          <w:b/>
        </w:rPr>
        <w:t xml:space="preserve">智能体与工作流的区别</w:t>
      </w:r>
    </w:p>
    <w:p>
      <w:pPr>
        <w:ind w:firstLine="420"/>
      </w:pPr>
      <w:r>
        <w:t xml:space="preserve">第11章将介绍低代码工作流。工作流与智能体都能让多个步骤自动进行，但两者决定“下一步做什么”的方式不同。工作流的每一步都是事先设计好的，节点之间的连接关系固定，同样的输入总会走同样的路径，因此结果容易预测，也便于检查。智能体则在运行中根据目标与中间结果，自行决定下一步调用哪一个工具，路径并不固定。</w:t>
      </w:r>
    </w:p>
    <w:p>
      <w:pPr>
        <w:ind w:firstLine="420"/>
      </w:pPr>
      <w:r>
        <w:t xml:space="preserve">选择两者，可以参照一个简单的标准：如果任务的步骤可以事先写清楚，且每一步的规则相对稳定，例如每周固定汇总一次表格，应当优先使用工作流；如果任务的目标清楚，但完成的路径需要根据情况判断，例如根据一组问题查找资料并整理成比较表，则更适合交给智能体。许多实际的系统是两者的结合：外层用工作流保证流程的顺序，在需要判断的环节嵌入智能体，并在智能体的输出之后设置固定的检查环节。</w:t>
      </w:r>
    </w:p>
    <w:p>
      <w:r>
        <w:rPr>
          <w:b/>
        </w:rPr>
        <w:t>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pPr>
        <w:ind w:firstLine="420"/>
      </w:pPr>
      <w:r>
        <w:t xml:space="preserve">判断一项任务是否适合交给智能体，还可以问一个问题：如果它第一步就做错了，后续的步骤会不会放大这个错误？在报名统计中，读取数据出错会导致之后的全部统计失真，因此读取环节需要更严格的核对；而在草稿生成中，错误只停留在草稿里，修改的成本较低。这一判断有助于决定哪些环节应当放在人工确认之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听说智能体“什么都能自动完成”，便让它替自己在论坛上发布了一条活动宣传。消息中包含了未经核实的数据，发布后引起误解，该同学不得不公开更正。他事后说，自己只注意到了智能体能做什么，却没有想过它做错时由谁承担责任。</w:t>
      </w:r>
    </w:p>
    <w:p>
      <w:pPr>
        <w:ind w:firstLine="420"/>
      </w:pPr>
      <w:r>
        <w:t>点题：智能体的自主程度越高，使用者就越需要为它设定边界。能力的增强并不减少使用者的责任；对外发布的内容，应当在发布之前经过人工核实。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ind w:firstLine="420"/>
      </w:pPr>
      <w:r>
        <w:t>图10-5展示了一次试运行中调用次数与费用的变化。当搜索结果不理想时，智能体会反复改写关键词并重新调用；若没有设置上限，调用次数与费用都会持续增长。图中的数据为示例数据。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al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图10-5　一次试运行中调用次数与费用的变化（示例数据）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r>
        <w:rPr>
          <w:b/>
        </w:rPr>
        <w:t>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r>
        <w:rPr>
          <w:b/>
        </w:rPr>
        <w:t>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r>
        <w:rPr>
          <w:b/>
        </w:rPr>
        <w:t>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r>
        <w:rPr>
          <w:b/>
        </w:rPr>
        <w:t xml:space="preserve">调用记录与用量控制</w:t>
      </w:r>
    </w:p>
    <w:p>
      <w:pPr>
        <w:ind w:firstLine="420"/>
      </w:pPr>
      <w:r>
        <w:t xml:space="preserve">智能体在运行中可能反复调用同一个工具。例如，某次搜索的结果不理想，智能体会不断修改关键词并重新搜索，直到某个上限才停止，这一过程既占用配额，也可能产生费用。因此，配置时应当为调用次数、单次运行的时长与费用设置上限，超过上限时自动停止，并通知负责人。这类设置与第10.4节的权限分级一样，是把风险控制在可接受范围内的手段。</w:t>
      </w:r>
    </w:p>
    <w:p>
      <w:pPr>
        <w:ind w:firstLine="420"/>
      </w:pPr>
      <w:r>
        <w:t xml:space="preserve">调用记录同样不可缺少。每一次调用都应当记录调用的时间、工具名称、主要参数（不含密钥与个人信息）、返回结果的摘要以及调用是否成功。在出现异常费用或异常结果时，这些记录可以帮助负责人判断问题究竟出在哪一次调用，而不是只能依据最终的输出进行猜测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案例：某社团的干事把自己的访问密钥写进了公开的代码仓库，不久之后，陌生人借此调用了付费接口，产生了大额费用。社团负责人发现后，立即作废了密钥，并逐条检查调用记录，才查清了情况。</w:t>
      </w:r>
    </w:p>
    <w:p>
      <w:pPr>
        <w:ind w:firstLine="420"/>
      </w:pPr>
      <w:r>
        <w:t>点题：密钥就是授权本身。妥善保管密钥，就是妥善保护自己与合作者的权限，也是对服务方与他人负责的基本体现。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章7.3节中对数据列格式与个人信息的检查相一致，也是最小权限原则在数据层面的体现。</w:t>
      </w:r>
    </w:p>
    <w:p>
      <w:r>
        <w:rPr>
          <w:b/>
        </w:rPr>
        <w:t>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r>
        <w:rPr>
          <w:b/>
        </w:rPr>
        <w:t>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pPr>
        <w:jc w:val="center"/>
      </w:pPr>
      <w:r>
        <w:rPr>
          <w:b/>
          <w:sz w:val="21"/>
        </w:rPr>
        <w:t>表10-4　智能体的三种触发方式（示例）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触发方式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手动触发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由人决定何时运行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初次使用，每次运行都有人在场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效率较低，依赖人的记忆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定时触发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按设定的时间自动运行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固定周期的汇总任务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须设置运行次数上限，并保留日志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事件触发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某个事件发生时运行，如有新数据写入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需要及时响应的任务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同一事件可能重复触发，错误也会重复发生</w:t>
            </w:r>
          </w:p>
        </w:tc>
      </w:tr>
    </w:tbl>
    <w:p>
      <w:r>
        <w:rPr>
          <w:b/>
        </w:rPr>
        <w:t xml:space="preserve">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r>
        <w:rPr>
          <w:b/>
        </w:rPr>
        <w:t>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>图10-6是报名整理智能体的配置界面示意。界面中的每一项设置，都对应前文讨论的角色描述、工具清单、触发条件与运行上限，便于对照检查。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08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图10-6　报名整理智能体的配置界面（示意）</w:t>
      </w:r>
    </w:p>
    <w:p>
      <w:pPr>
        <w:ind w:firstLine="420"/>
      </w:pPr>
      <w:r>
        <w:t xml:space="preserve">配置完成后，还应当为智能体规定停止条件。停止条件包括：达到了目标；连续若干次调用失败；超过了预先设定的预算；或者遇到需要人工判断的情况。没有明确的停止条件，智能体可能在失败之后继续尝试，既浪费调用次数，也可能产生不可预期的操作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为智能体写了一段很长的配置，要求它“尽量帮助用户，回答所有问题，并保证结果完全准确”。试运行时，智能体对一条无法核实的信息给出了肯定的答复。小组成员后来发现，配置中既没有说明信息来源的要求，也没有规定遇到不确定时应当如何处理。</w:t>
      </w:r>
    </w:p>
    <w:p>
      <w:pPr>
        <w:ind w:firstLine="420"/>
      </w:pPr>
      <w:r>
        <w:t>点题：配置智能体，就是为它写下职责与底线。越是含糊的要求，越可能在关键时刻被误解；说明“做不到时怎么办”，同样是负责任的表现。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人工确认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图10-7　小何确认智能体的发送操作（卡通示意）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-8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图10-8　智能体操作的人工确认判断流程（示意）</w:t>
      </w:r>
    </w:p>
    <w:p>
      <w:pPr>
        <w:ind w:firstLine="420"/>
      </w:pPr>
      <w:r>
        <w:t>权限边界应当按照操作的风险进行分级。表10-5给出了一种常见的分级方式。分级的目的，是让每一类操作都有与之相称的控制方法，而不是对所有操作一律放行或一律禁止。</w:t>
      </w:r>
    </w:p>
    <w:p>
      <w:pPr>
        <w:jc w:val="center"/>
      </w:pPr>
      <w:r>
        <w:rPr>
          <w:b/>
          <w:sz w:val="21"/>
        </w:rPr>
        <w:t>表10-5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r>
        <w:rPr>
          <w:b/>
        </w:rPr>
        <w:t>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-5的级别分别开放权限。当任务结束后，应当及时收回不再需要的权限。</w:t>
      </w:r>
    </w:p>
    <w:p>
      <w:r>
        <w:rPr>
          <w:b/>
        </w:rPr>
        <w:t>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-6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表10-6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r>
        <w:rPr>
          <w:b/>
        </w:rPr>
        <w:t>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r>
        <w:rPr>
          <w:b/>
        </w:rPr>
        <w:t>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r>
        <w:rPr>
          <w:b/>
        </w:rPr>
        <w:t xml:space="preserve">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pPr>
        <w:ind w:firstLine="420"/>
      </w:pPr>
      <w:r>
        <w:t>图10-9将智能体的操作按可逆性与影响范围分为四个区域，与表10-5的四个权限级别相对应。越靠右下的操作，一旦执行就越难挽回，所需的控制也越严格。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84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图10-9　智能体操作的权限分级矩阵（示例）</w:t>
      </w:r>
    </w:p>
    <w:p>
      <w:pPr>
        <w:ind w:firstLine="420"/>
      </w:pPr>
      <w:r>
        <w:t>人工确认的内容还应当包括撤销方式。对于可以撤销的操作，应当说明撤销的步骤；对于无法撤销的操作，例如已经对外发出的消息，确认环节就是唯一的保护。因此，图10-9中越靠近不可逆一侧的操作，越需要在发生之前由人作出判断，而不能依赖事后补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班级的智能体每天自动向全体同学发送作业提醒。有一天，它把一份已经取消的作业要求发送给了所有人，造成了不必要的混乱。班长事后规定，凡是面向全体成员的发送，都必须先经人工确认，并保留确认记录。</w:t>
      </w:r>
    </w:p>
    <w:p>
      <w:pPr>
        <w:ind w:firstLine="420"/>
      </w:pPr>
      <w:r>
        <w:t>点题：权限的分配应当与风险相称。由机器执行并不意味着无人负责，人工确认的价值，正在于在错误扩散之前，由人作出判断并承担责任。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【练习】请为一个智能体列出它可能执行的五种操作，按照表10-5将它们分为四个权限级别，并说明每一个需确认操作的确认内容。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-5）；至少两次试运行的日志摘要；一份人工确认记录（参照表10-6）；以及一份不少于八百字的作品说明。</w:t>
      </w:r>
    </w:p>
    <w:p>
      <w:pPr>
        <w:ind w:firstLine="420"/>
      </w:pPr>
      <w:r>
        <w:t>实训可以按照图10-10所示的流程进行。与前面章节一样，它的顺序不宜颠倒。若先开放全部权限再考虑确认，常见的结果是权限已经被用于不该执行的操作，之后再补救就十分困难。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图10-10　带人工确认的智能体实训流程（示例）</w:t>
      </w:r>
    </w:p>
    <w:p>
      <w:pPr>
        <w:ind w:firstLine="420"/>
      </w:pPr>
      <w:r>
        <w:t>实训的评价可以参考表10-7所示的量规。评价重点关注配置是否清楚、权限是否与风险相称、确认是否真实有效，以及失败时的处理是否可行。</w:t>
      </w:r>
    </w:p>
    <w:p>
      <w:pPr>
        <w:jc w:val="center"/>
      </w:pPr>
      <w:r>
        <w:rPr>
          <w:b/>
          <w:sz w:val="21"/>
        </w:rPr>
        <w:t>表10-7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r>
        <w:rPr>
          <w:b/>
        </w:rPr>
        <w:t xml:space="preserve">试运行样本的选择</w:t>
      </w:r>
    </w:p>
    <w:p>
      <w:pPr>
        <w:ind w:firstLine="420"/>
      </w:pPr>
      <w:r>
        <w:t xml:space="preserve">试运行的样本，应当覆盖正常情况与异常情况两类。只用整齐规范的报名表进行试运行，很难发现智能体的问题。小何在试运行时，除了规范的表格，还特意加入了一份字段缺失的表格、一份日期格式不一致的表格，以及一条重复提交的记录。这些样本使她发现，智能体在处理空白字段时会直接跳过，而没有提醒负责人。</w:t>
      </w:r>
    </w:p>
    <w:p>
      <w:pPr>
        <w:ind w:firstLine="420"/>
      </w:pPr>
      <w:r>
        <w:t xml:space="preserve">样本的数量不必很多，但应当有代表性。试运行结束后，应当把每一个异常样本的处理结果记录下来，并与预期的处理方式逐一对照。如果智能体的处理结果与预期不一致，应当先修改配置或权限设置，再进行下一轮试运行，而不是直接在正式任务中修正。</w:t>
      </w:r>
    </w:p>
    <w:p>
      <w:r>
        <w:rPr>
          <w:b/>
        </w:rPr>
        <w:t>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pPr>
        <w:ind w:firstLine="420"/>
      </w:pPr>
      <w:r>
        <w:t xml:space="preserve">实训成果交付之前，应当把一次完整的失败运行也纳入记录，例如确认被拒绝、工具报错或输出为空的情况。这些记录能够证明配置中的边界在异常情况下确实有效，也是说明作品可靠性的重要依据。只展示成功运行的作品，很难让读者相信它在真实使用中同样可靠。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完成了带人工确认的智能体实训，但作品说明中只写了“已设置人工确认”，没有说明哪些操作需要确认，确认记录保存在哪里。老师指出，这样的说明无法让他人判断系统是否安全。该同学随后补充了权限分级表与确认记录样例，作品才得以通过。</w:t>
      </w:r>
    </w:p>
    <w:p>
      <w:pPr>
        <w:ind w:firstLine="420"/>
      </w:pPr>
      <w:r>
        <w:t>点题：作品的价值不仅在于功能能否运行，还在于他人能否依据说明检验它的安全与可靠。把控制措施写清楚，本身就是诚实的表达。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图10-11　本章结构</w:t>
      </w:r>
    </w:p>
    <w:p>
      <w:pPr>
        <w:ind w:firstLine="420"/>
      </w:pPr>
      <w:r>
        <w:t>图10-12概括了本章的主要知识点及其关系，可以作为复习时的索引。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图10-12　第10章知识图谱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