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提示词的基本结构：角色、任务、背景、格式、约束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-8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核对文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小何对照原文核对参考文献（卡通示意）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报名政策查询与发布前核对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-9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AI回答的逐条核对步骤</w:t>
      </w:r>
    </w:p>
    <w:p>
      <w:pPr>
        <w:ind w:firstLine="420"/>
      </w:pPr>
      <w:r>
        <w:rPr>
          <w:b w:val="0"/>
        </w:rPr>
        <w:t>图2-10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核验的基本链条</w:t>
      </w:r>
    </w:p>
    <w:p>
      <w:pPr>
        <w:ind w:firstLine="420"/>
      </w:pPr>
      <w:r>
        <w:rPr>
          <w:b w:val="0"/>
        </w:rPr>
        <w:t>不同类型的内容，核验难度差别很大。图2-11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-12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输入邮件时的隐私处理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-13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-14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实训中的核验与签字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-15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-15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-16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删除该数字，改用有依据的定性表述</w:t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-17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图2-17　本章工作流程小结</w:t>
      </w:r>
    </w:p>
    <w:p>
      <w:pPr>
        <w:ind w:firstLine="420"/>
      </w:pPr>
      <w:r>
        <w:rPr>
          <w:b w:val="0"/>
        </w:rPr>
        <w:t>图2-18概括了本章的主要知识点及其关系，可以作为复习时的索引。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图2-18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对照图2-11，选取一段你熟悉领域的回答，判断其中哪些内容属于“具体但难核对”，并说明你打算用什么来源去核实。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