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思源黑体" w:ascii="Times New Roman" w:hAnsi="Times New Roman" w:cs="Times New Roman"/>
          <w:b/>
          <w:sz w:val="40"/>
          <w:szCs w:val="40"/>
        </w:rPr>
        <w:t>暑期教师企业实践总结</w:t>
      </w:r>
    </w:p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石家庄邮电职业技术学院 会计学院   薛辉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一、实践基本情况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6626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项目</w:t>
            </w:r>
          </w:p>
        </w:tc>
        <w:tc>
          <w:tcPr>
            <w:tcW w:type="dxa" w:w="66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内容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实践企业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河北企富财税管理有限公司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实践地点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河北省石家庄市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实践岗位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财税信息化顾问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对接部门</w:t>
            </w:r>
          </w:p>
        </w:tc>
        <w:tc>
          <w:tcPr>
            <w:tcW w:type="dxa" w:w="6626"/>
          </w:tcPr>
          <w:p>
            <w:r>
              <w:t>审计部、会计部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计划周期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2026年7月15日—8月25日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实际周期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2026年6月24日启动，持续至9月初，因二期工程推进超出计划周期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实践形式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部门协调安排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本学期课程</w:t>
            </w:r>
          </w:p>
        </w:tc>
        <w:tc>
          <w:tcPr>
            <w:tcW w:type="dxa" w:w="6626"/>
          </w:tcPr>
          <w:p>
            <w:r>
              <w:rPr>
                <w:rFonts w:eastAsia="思源黑体" w:ascii="Times New Roman" w:hAnsi="Times New Roman" w:cs="Times New Roman"/>
              </w:rPr>
              <w:t>基础会计、财务机器人应用与开发、AI工具实战应用、基础会计实训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二、实践成果速览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成果</w:t>
            </w:r>
          </w:p>
        </w:tc>
        <w:tc>
          <w:tcPr>
            <w:tcW w:type="dxa" w:w="4513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数量/规模</w:t>
            </w:r>
          </w:p>
        </w:tc>
      </w:tr>
      <w:tr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财税法律法规知识库</w:t>
            </w:r>
          </w:p>
        </w:tc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651篇文档</w:t>
            </w:r>
          </w:p>
        </w:tc>
      </w:tr>
      <w:tr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实质性合规分析</w:t>
            </w:r>
          </w:p>
        </w:tc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6组</w:t>
            </w:r>
          </w:p>
        </w:tc>
      </w:tr>
      <w:tr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服务部门</w:t>
            </w:r>
          </w:p>
        </w:tc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2个（审计部、会计部）</w:t>
            </w:r>
          </w:p>
        </w:tc>
      </w:tr>
      <w:tr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配套交付</w:t>
            </w:r>
          </w:p>
        </w:tc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审计台账模板、财税知识管理证明、使用规范手册</w:t>
            </w:r>
          </w:p>
        </w:tc>
      </w:tr>
      <w:tr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已转化毕业设计课题</w:t>
            </w:r>
          </w:p>
        </w:tc>
        <w:tc>
          <w:tcPr>
            <w:tcW w:type="dxa" w:w="4513"/>
          </w:tcPr>
          <w:p>
            <w:r>
              <w:rPr>
                <w:rFonts w:eastAsia="思源黑体" w:ascii="Times New Roman" w:hAnsi="Times New Roman" w:cs="Times New Roman"/>
              </w:rPr>
              <w:t>1项（知识库文档打标分类）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三、主要工作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（一）建成651篇财税法规知识库</w:t>
      </w:r>
    </w:p>
    <w:p>
      <w:r>
        <w:rPr>
          <w:rFonts w:eastAsia="思源黑体" w:ascii="Times New Roman" w:hAnsi="Times New Roman" w:cs="Times New Roman"/>
        </w:rPr>
        <w:t>从零归集企业适用的财税政策、税收法规、办税规范及政策细则，入库651篇，覆盖国家、省、市及行业多层，并完成AI检索配置与训练，使企业人员可通过自然语言快速定位政策依据，服务合规办税与风险规避。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（二）输出6组实质性合规分析</w:t>
      </w:r>
    </w:p>
    <w:p>
      <w:r>
        <w:rPr>
          <w:rFonts w:eastAsia="思源黑体" w:ascii="Times New Roman" w:hAnsi="Times New Roman" w:cs="Times New Roman"/>
        </w:rPr>
        <w:t>每项均形成“事实描述—条款引用—问题定性—整改建议”闭环：耳鼻喉科医疗收费合规性、长期往来款挂账、无形资产购置费挪用、固定资产账卡核对与在建工程转固、诊疗项目收费整改、支出归集错误。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（三）形成可复制的方法论</w:t>
      </w:r>
    </w:p>
    <w:p>
      <w:r>
        <w:rPr>
          <w:rFonts w:eastAsia="思源黑体" w:ascii="Times New Roman" w:hAnsi="Times New Roman" w:cs="Times New Roman"/>
        </w:rPr>
        <w:t>针对AI检索边界总结出使用规范：提问须带文件名、文号、层级、业务；查不到时用标签缩小范围或打开原文件提问；标签是管理工具而非负担。同时诊断出检索接口三项硬限制——单次最多返回约45条、无分页参数、文档量大必须手工打标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（四）跨部门复制推广</w:t>
      </w:r>
    </w:p>
    <w:p>
      <w:r>
        <w:rPr>
          <w:rFonts w:eastAsia="思源黑体" w:ascii="Times New Roman" w:hAnsi="Times New Roman" w:cs="Times New Roman"/>
        </w:rPr>
        <w:t>审计部跑通后，同一套方法论复制至会计部，指导资料按规范打包交付并明确打标要求，对方已认领并启动整理。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四、目前进度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1400"/>
        <w:gridCol w:w="6026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阶段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范围</w:t>
            </w:r>
          </w:p>
        </w:tc>
        <w:tc>
          <w:tcPr>
            <w:tcW w:type="dxa" w:w="60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状态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一期工程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审计部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  <w:t>已完成：知识库建成可用，6组合规分析出具，方法论培训交付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一期遗留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审计部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  <w:t>企业方资料标准化整理未闭环，系按原始资料先行建库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二期工程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会计部</w:t>
            </w:r>
          </w:p>
        </w:tc>
        <w:tc>
          <w:tcPr>
            <w:tcW w:type="dxa" w:w="6026"/>
          </w:tcPr>
          <w:p>
            <w:r>
              <w:rPr>
                <w:rFonts w:eastAsia="思源黑体" w:ascii="Times New Roman" w:hAnsi="Times New Roman" w:cs="Times New Roman"/>
              </w:rPr>
              <w:t>在建：整理标准已下达，对方正在整理资料</w:t>
            </w:r>
          </w:p>
        </w:tc>
      </w:tr>
    </w:tbl>
    <w:p>
      <w:r>
        <w:rPr>
          <w:rFonts w:eastAsia="思源黑体" w:ascii="Times New Roman" w:hAnsi="Times New Roman" w:cs="Times New Roman"/>
        </w:rPr>
        <w:t>一期未能闭环的原因值得总结：整理要求最初以“使用说明书”形式发出，企业按“操作指南”接收，缺少时间节点、验收标准与责任人，因而沉淀为“知道了”而未落地。二期在会计部改用“提标准—对方认领”的闭环方式，推进明显改善。这一经验已反哺教学设计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五、教学转化与后续规划</w:t>
      </w:r>
    </w:p>
    <w:p>
      <w:r>
        <w:rPr>
          <w:rFonts w:eastAsia="思源黑体" w:ascii="Times New Roman" w:hAnsi="Times New Roman" w:cs="Times New Roman"/>
        </w:rPr>
        <w:t>本次实践最有价值的产出，是可直接反哺教学的三类资源：真实案例、真实工具、真实课题。</w:t>
      </w:r>
    </w:p>
    <w:tbl>
      <w:tblPr>
        <w:tblW w:type="dxa" w:w="9026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200"/>
        <w:gridCol w:w="6826"/>
      </w:tblGrid>
      <w:tr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课程/环节</w:t>
            </w:r>
          </w:p>
        </w:tc>
        <w:tc>
          <w:tcPr>
            <w:tcW w:type="dxa" w:w="6826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转化形式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基础会计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6个真实违规案例进课堂，讲清“账怎么记错、依据哪条法规、如何整改”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财务机器人应用与开发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651篇批量入库、批量打标、检索接口调用，开发自动检索与合规校验实训项目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AI工具实战应用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学生分组当堂搭建小型知识库，走通“建库—打标—提问—验证”全流程，输出避坑清单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基础会计实训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按企业真实标准完成资料登记与台账编制</w:t>
            </w:r>
          </w:p>
        </w:tc>
      </w:tr>
      <w:tr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大三毕业设计</w:t>
            </w:r>
          </w:p>
        </w:tc>
        <w:tc>
          <w:tcPr>
            <w:tcW w:type="dxa" w:w="6826"/>
          </w:tcPr>
          <w:p>
            <w:r>
              <w:rPr>
                <w:rFonts w:eastAsia="思源黑体" w:ascii="Times New Roman" w:hAnsi="Times New Roman" w:cs="Times New Roman"/>
              </w:rPr>
              <w:t>题目改为为651篇文档打标分类，帮助企业完成一期到二期升级</w:t>
            </w:r>
          </w:p>
        </w:tc>
      </w:tr>
    </w:tbl>
    <w:p>
      <w:r>
        <w:rPr>
          <w:rFonts w:eastAsia="思源黑体" w:ascii="Times New Roman" w:hAnsi="Times New Roman" w:cs="Times New Roman"/>
        </w:rPr>
        <w:t>毕业设计改革是本次实践转化的关键一环。企业整理工作未闭环，暴露的正是中小企业“知道该做、却没人做、也不会做”的困境，而这恰是职业教育可介入的空间。651篇打标任务交给学生，企业零投入获得实质成果，学生真题真做并可获企业验收证明，学校则形成“教师下企业—带回真课题—学生做真题—成果回企业”的产教融合闭环。</w:t>
      </w:r>
    </w:p>
    <w:p>
      <w:r>
        <w:rPr>
          <w:rFonts w:eastAsia="思源黑体" w:ascii="Times New Roman" w:hAnsi="Times New Roman" w:cs="Times New Roman"/>
        </w:rPr>
        <w:t>后续将回访审计部确认整理进度并下发字段模板，结合毕业设计完成打标与索引重建，使检索由“一次45条粗筛”升级为“精准命中”；在此基础上打通两部门资料库，建成企业统一检索平台，并推动案例库、讲义成稿与实习实训基地落地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六、小结</w:t>
      </w:r>
    </w:p>
    <w:p>
      <w:r>
        <w:rPr>
          <w:rFonts w:eastAsia="思源黑体" w:ascii="Times New Roman" w:hAnsi="Times New Roman" w:cs="Times New Roman"/>
        </w:rPr>
        <w:t>本次实践实际投入超出计划周期，先后服务审计部与会计部，完成651篇知识库建设、6组合规分析与一套方法论交付，并已延伸至课程教学与大三毕业设计。实践所积累的真实案例、真实工具与真实课题，正在持续转化为可检验的教学成果，实现了“把企业真问题搬进课堂、把课堂成果送回企业”。</w:t>
      </w:r>
    </w:p>
    <w:sectPr w:rsidR="00FC693F" w:rsidRPr="0006063C" w:rsidSect="00034616">
      <w:footerReference w:type="defaul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{"Label":"1","ContentProducer":"001191440300708461136T1WFUO","ProduceID":"b9bc38153c8648826a39737e3f362940-Y5tG","ReservedCode1":"{\"Type\":\" TC260PG\",\"Version\":1,\"Bindings\":[{\"Type\":\"soft\",\"AlgID\":\"sm3\",\"Value\":\"d98871d068d73f0423234e547d0e7dec0f340e87a4fb8b75e379b3b9415110a6\"},{\"Type\":\"hash\",\"AlgID\":\"sm3\",\"Value\":\"6b54b451f575e58af1109942685f0b2db7d3d7cce89ae8b98005f8540ffd7b21\"}],\"PubSD\":[{\"Type\":\"DS\",\"AlgID\":\"sm2\",\"TBSData\":{\"Type\":\"Binding\",\"BType\":\"hash\"},\"Signature\":\"3045022100886b3936ce988cb4b91ea25b42222f91fab185aab0c27422363a70d6187bb7e502207c37b6c307e5ad3b53dea1158bc45e5627f2e3f41862fccb75c1760fa603e674\"},{\"Type\":\"PubKey\",\"AlgID\":\"sm2\",\"KeyValue\":\"0407f79b28a17a752b3aae4305c98b48978213832729a2571850b1310b2bc9fe8fee039ccf25ebfeac27502414d9fcef792d777183c98893d226171c2f7a3289a2\"}],\"Extension\":{\"Timestamp\":1791448160,\"KeyVersion\":\"v1-TxLeOmf7bqU223\"}}","ContentPropagator":"001191440300708461136T1WFUO","PropagateID":"b9bc38153c8648826a39737e3f362940-Y5tG","ReservedCode2":"{\"Type\":\" TC260PG\",\"Version\":1,\"Bindings\":[{\"Type\":\"soft\",\"AlgID\":\"sm3\",\"Value\":\"d98871d068d73f0423234e547d0e7dec0f340e87a4fb8b75e379b3b9415110a6\"},{\"Type\":\"hash\",\"AlgID\":\"sm3\",\"Value\":\"6b54b451f575e58af1109942685f0b2db7d3d7cce89ae8b98005f8540ffd7b21\"}],\"PubSD\":[{\"Type\":\"DS\",\"AlgID\":\"sm2\",\"TBSData\":{\"Type\":\"Binding\",\"BType\":\"hash\"},\"Signature\":\"3045022100a20b1ff837c8a69286db5baf02e872417b2bbe6d11686e72137badb1afba1cb202206884d6018f70a977031b2bb5c5c7f5db5d032e2b15feec4142b01837b2137d7d\"},{\"Type\":\"PubKey\",\"AlgID\":\"sm2\",\"KeyValue\":\"0407f79b28a17a752b3aae4305c98b48978213832729a2571850b1310b2bc9fe8fee039ccf25ebfeac27502414d9fcef792d777183c98893d226171c2f7a3289a2\"}],\"Extension\":{\"Timestamp\":1791448160,\"KeyVersion\":\"v1-TxLeOmf7bqU223\"}}"}</vt:lpwstr>
  </property>
</Properties>
</file>