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lineRule="exact" w:line="400" w:before="0" w:after="12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任务13.3 用AI辅助财务数据的保密与脱敏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导入：一张公示表格的风险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校园线：星空读书会准备在期末公布活动经费明细。财务干事小林把报名表和报销单合并成一张表格，表中有同学的姓名、学号、手机号，还有几位同学的报销地点和时间。她想让大模型帮忙整理成可以公示的版本，但在复制之前，她停下来想了想：这些信息能不能交给一个她无法控制的工具？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职业线：青禾文具的财务部需要分析9月的客户付款情况。表中有客户名称、联系人电话和银行账号。实习生孙悦正要把整张表粘贴进对话框，被陈静拦下，她说：“先想清楚，哪些信息是分析必须的。”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2612093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13_图13-1_保密场景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1209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120" w:after="0"/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图13-1 财务干事在公开材料前先隐去敏感信息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一、哪些财务数据需要保护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【通识】财务数据中常见的敏感信息可以分为三类：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1.</w:t>
        <w:tab/>
        <w:t>个人信息：姓名、学号、身份证号、手机号、住址等；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2.</w:t>
        <w:tab/>
        <w:t>交易信息：客户名称、付款金额和时间、银行账号等；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3.</w:t>
        <w:tab/>
        <w:t>内部经营信息：成本结构、报价、合同条款等。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判断一项信息是否需要保护，可以问一个问题：如果这项信息被与工作无关的人看到，是否会让某个人或某家单位受到损害或困扰。如果答案是肯定的，就应当保护。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二、保密的三条基本要求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【通识】保密工作通常要做到三点：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1.</w:t>
        <w:tab/>
        <w:t>最小必要：只提供完成任务所必需的字段，其余信息不提供；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2.</w:t>
        <w:tab/>
        <w:t>知情范围：明确哪些人可以查看哪些数据，并写进制度；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3.</w:t>
        <w:tab/>
        <w:t>留痕：记录谁在何时查看、导出或转发过数据。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这三点中，第一条最容易做到，也最容易被忽视。分析客户付款时，通常不需要客户的银行账号；分析活动经费时，通常不需要同学的学号。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三、脱敏的常用方法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【通识】脱敏是指通过处理，使数据不再直接指向某个人或某家单位。常用方法如表13-1所示。</w:t>
      </w:r>
    </w:p>
    <w:p>
      <w:pPr>
        <w:keepNext/>
        <w:spacing w:lineRule="exact" w:line="400" w:before="120" w:after="0"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表13-1 常用脱敏方法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方法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做法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示例</w:t>
            </w:r>
          </w:p>
        </w:tc>
      </w:tr>
      <w:tr>
        <w:tc>
          <w:tcPr>
            <w:tcW w:type="dxa" w:w="2771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删除</w:t>
            </w:r>
          </w:p>
        </w:tc>
        <w:tc>
          <w:tcPr>
            <w:tcW w:type="dxa" w:w="2771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去掉不需要的字段</w:t>
            </w:r>
          </w:p>
        </w:tc>
        <w:tc>
          <w:tcPr>
            <w:tcW w:type="dxa" w:w="2771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删除手机号、银行账号</w:t>
            </w:r>
          </w:p>
        </w:tc>
      </w:tr>
      <w:tr>
        <w:tc>
          <w:tcPr>
            <w:tcW w:type="dxa" w:w="2771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遮蔽</w:t>
            </w:r>
          </w:p>
        </w:tc>
        <w:tc>
          <w:tcPr>
            <w:tcW w:type="dxa" w:w="2771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保留部分字符，隐去其余</w:t>
            </w:r>
          </w:p>
        </w:tc>
        <w:tc>
          <w:tcPr>
            <w:tcW w:type="dxa" w:w="2771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138****5678</w:t>
            </w:r>
          </w:p>
        </w:tc>
      </w:tr>
      <w:tr>
        <w:tc>
          <w:tcPr>
            <w:tcW w:type="dxa" w:w="2771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泛化</w:t>
            </w:r>
          </w:p>
        </w:tc>
        <w:tc>
          <w:tcPr>
            <w:tcW w:type="dxa" w:w="2771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用范围代替精确值</w:t>
            </w:r>
          </w:p>
        </w:tc>
        <w:tc>
          <w:tcPr>
            <w:tcW w:type="dxa" w:w="2771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金额“1000元以上”代替具体数字</w:t>
            </w:r>
          </w:p>
        </w:tc>
      </w:tr>
      <w:tr>
        <w:tc>
          <w:tcPr>
            <w:tcW w:type="dxa" w:w="2771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替换</w:t>
            </w:r>
          </w:p>
        </w:tc>
        <w:tc>
          <w:tcPr>
            <w:tcW w:type="dxa" w:w="2771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用编号代替真实名称</w:t>
            </w:r>
          </w:p>
        </w:tc>
        <w:tc>
          <w:tcPr>
            <w:tcW w:type="dxa" w:w="2771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张某某改为“成员A”，客户改为“客户B”</w:t>
            </w:r>
          </w:p>
        </w:tc>
      </w:tr>
      <w:tr>
        <w:tc>
          <w:tcPr>
            <w:tcW w:type="dxa" w:w="2771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假名化</w:t>
            </w:r>
          </w:p>
        </w:tc>
        <w:tc>
          <w:tcPr>
            <w:tcW w:type="dxa" w:w="2771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用编号替代，对照表单独保存，只在本单位内可还原</w:t>
            </w:r>
          </w:p>
        </w:tc>
        <w:tc>
          <w:tcPr>
            <w:tcW w:type="dxa" w:w="2771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对照表存放在限定访问的文件夹中</w:t>
            </w:r>
          </w:p>
        </w:tc>
      </w:tr>
    </w:tbl>
    <w:p>
      <w:pPr>
        <w:spacing w:lineRule="exact" w:line="400" w:before="0" w:after="0"/>
        <w:ind w:firstLine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【拓展】脱敏不等于匿名。即使删除了姓名，如果“某个专业、某个活动日期、某个特定金额”这些信息组合在一起，仍然可能指向某位同学。因此，脱敏后还要检查组合信息：哪些字段单独看无害，合在一起却可能识别出具体的人或单位？遇到这种情况，应当进一步泛化，例如把日期改为“某周”，把金额改为区间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四、用大模型辅助脱敏：先脱敏，后分析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AI操作：请按照下面的顺序操作。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第一步，在本地表格中完成脱敏。删除姓名、学号、电话和银行账号，把人员和客户替换为编号，把编号与真实名称的对照表单独保存，不上传到任何工具。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第二步，把已脱敏的表格交给大模型，并使用下面的提示词：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你是一名财务数据管理员。下面是已经脱敏的报销明细，人员和客户已用编号替代。请找出其中仍可能识别个人或单位的字段，并说明理由。只根据我提供的内容判断，不要猜测被遮蔽或删除的信息。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第三步，对照大模型给出的清单，逐项检查。大模型可能遗漏组合识别的风险，因此，清单要由人来确认，不能直接当作最终结论。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回到案例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校园线：小林删去了手机号和学号，把姓名替换为“成员A、成员B”，并把对照表保存在只有自己能访问的文件夹中。大模型提醒她，“活动地点加日期加金额”的组合可能指向某位同学。于是她把日期改为“某周”，把金额改为区间，再提交给社团负责人审核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职业线：孙悦先把客户名称替换为“客户A”，删去银行账号，再交给大模型分析。陈静要求他在共享前检查两件事：导出是否有记录，对照表是否单独保存。孙悦发现，对照表和分析表被他放在了同一个共享文件夹里，于是马上移走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误区一：删掉姓名，就等于完成了脱敏。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组合信息仍然可能识别个人，必须做组合检查。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误区二：把原始数据交给大模型，让它帮忙脱敏。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原始数据一旦离开本单位的控制范围，风险就已经发生。应当先脱敏，再使用大模型。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误区三：脱敏后的数据可以随意转发。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脱敏降低了风险，但不能取代知情范围和留痕的要求。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思政园地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某社团负责人在公布经费明细时，把同学的学号和宿舍号一并放进表中，结果引起部分同学的不安，活动的信任度也受到了影响。事后，他重新整理了表格，只保留金额和用途，并说明了公示的范围。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点题：财务工作的基础是信任。保护他人的信息，就是保护这份信任。使用大模型提高效率的同时，更要守住这条底线。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制度依据的核实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【通识】保密和脱敏的具体要求，来自法律、单位制度和行业规范。写制度说明时，每一条依据都应当能在官方文本中找到。例如，《中华人民共和国会计法》第十四条与原始凭证的真实性和完整性有关；《企业会计准则——基本准则》2014年的修改只涉及第四十二条第五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大模型可能编造条文号或改写原文，因此，核实依据时应先查官方文本，再写入说明。查不到原文的内容，不写入。本书引用的全部法规条文见附录。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1.</w:t>
        <w:tab/>
        <w:t>找一份含个人信息的报销明细（可以使用模拟数据），列出所有敏感字段，并写明每个字段采用的脱敏方法。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2.</w:t>
        <w:tab/>
        <w:t>检查你的脱敏结果，找出一组可能组合识别个人的字段，并把其中一个字段改为泛化形式。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3.</w:t>
        <w:tab/>
        <w:t>用大模型生成脱敏检查清单，与你自己的清单对照，记录大模型遗漏的项目。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本任务的核心是：财务数据共享之前，先判断哪些信息需要保护，再用删除、遮蔽、泛化、替换等方法脱敏，并检查组合风险。大模型可以帮助我们列出检查项，但是否可以共享、如何共享，仍由人负责。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附录 法规条文索引表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本书引用的法规条文如下表所列，使用前请以官方文本为准。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法规名称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发文机关及文号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发布与修订情况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引用条文</w:t>
            </w:r>
          </w:p>
        </w:tc>
      </w:tr>
      <w:tr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中华人民共和国会计法</w:t>
            </w:r>
          </w:p>
        </w:tc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全国人民代表大会常务委员会</w:t>
            </w:r>
          </w:p>
        </w:tc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现行文本经第三次修正，修正日期为2024年6月28日</w:t>
            </w:r>
          </w:p>
        </w:tc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第十四条</w:t>
            </w:r>
          </w:p>
        </w:tc>
      </w:tr>
      <w:tr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会计基础工作规范</w:t>
            </w:r>
          </w:p>
        </w:tc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财政部，财政部令第98号</w:t>
            </w:r>
          </w:p>
        </w:tc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1996年6月17日公布，2019年3月14日修改</w:t>
            </w:r>
          </w:p>
        </w:tc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第四十八条第一项</w:t>
            </w:r>
          </w:p>
        </w:tc>
      </w:tr>
      <w:tr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中华人民共和国发票管理办法</w:t>
            </w:r>
          </w:p>
        </w:tc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1993年12月23日发布（财政部令第6号）；2023年7月20日国务院第三次修订</w:t>
            </w:r>
          </w:p>
        </w:tc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以2023年修订后的文本为准</w:t>
            </w:r>
          </w:p>
        </w:tc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第二十条</w:t>
            </w:r>
          </w:p>
        </w:tc>
      </w:tr>
      <w:tr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企业会计准则——基本准则</w:t>
            </w:r>
          </w:p>
        </w:tc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财政部令第33号</w:t>
            </w:r>
          </w:p>
        </w:tc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2006年2月15日公布，2007年1月1日起施行；2014年7月23日财政部令第76号修改第四十二条第五项</w:t>
            </w:r>
          </w:p>
        </w:tc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第九条（修改未涉及该条）</w:t>
            </w:r>
          </w:p>
        </w:tc>
      </w:tr>
    </w:tbl>
    <w:p>
      <w:pPr>
        <w:spacing w:lineRule="exact" w:line="400" w:before="0" w:after="0"/>
        <w:ind w:firstLine="0"/>
      </w:pP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