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关注的是更基础的一件事：怎样把自己的需求说清楚，并在得到回答之后，判断它是否可靠。同样的工具，在两个人手中可能得到截然不同的结果，差别往往不在工具本身，而在提问的方式和核验的习惯。</w:t>
      </w:r>
    </w:p>
    <w:p>
      <w:pPr>
        <w:ind w:firstLine="420"/>
      </w:pPr>
      <w:r>
        <w:t>对话式AI的回答有一个显著特点：它的语言通常流畅、条理清楚、语气肯定。正因为如此，读者很容易把“读起来合理”误当成“确实属实”。本章的目标，是帮助你建立一套稳定的工作方法：先把任务交代清楚，再通过追问让回答具体化，最后逐条核验，并对采用的内容负责。本章后半部分设计了一次完整的实训，你可以按步骤完成，形成一份可以交给他人检查的成果。</w:t>
      </w:r>
    </w:p>
    <w:p>
      <w:pPr>
        <w:ind w:firstLine="420"/>
      </w:pPr>
      <w:r>
        <w:t>本章共五节。第2.4节讨论使用AI时的隐私、署名与责任边界；第2.5节为实训，把前面的方法串成一次完整的任务。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学完本章，你应当能够完成以下三类目标。图2-1概括了它们之间的关系。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知识目标：说出提示词的五个基本要素，理解幻觉、过时信息、敏感内容和迎合用户等常见局限，知道多轮追问与核验的基本流程。</w:t>
      </w:r>
    </w:p>
    <w:p>
      <w:pPr/>
      <w:r>
        <w:t>能力目标：能够根据任务单设计结构完整的提示词；能够通过多轮追问修正回答；能够对回答中的数字、出处和结论进行逐条核验，并填写核验记录。</w:t>
      </w:r>
    </w:p>
    <w:p>
      <w:pPr/>
      <w:r>
        <w:t>素养目标：养成“先核实、后采用”的使用习惯，不把AI表达的流畅当作事实依据；对自己提交的成果承担责任，并如实说明AI参与的环节。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本章学习目标的结构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要求方案里“要有数据”，否则很难说服学院批准场地。小何接到任务后，在AI工具里输入了一句话：“帮我写一份垃圾分类宣传方案，要有数据。”（见图2-2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小何案例的主要过程（示意图）</w:t>
      </w:r>
    </w:p>
    <w:p>
      <w:pPr>
        <w:ind w:firstLine="420"/>
      </w:pPr>
      <w:r>
        <w:t>几秒钟后，屏幕上出现了一份结构完整的方案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数据库里查到的。</w:t>
      </w:r>
    </w:p>
    <w:p>
      <w:pPr>
        <w:ind w:firstLine="420"/>
      </w:pPr>
      <w:r>
        <w:t>她也注意到另一个问题：自己在输入时没有说明场景、对象和预算，模型只好自行补充。这说明，问题既出在回答上，也出在提问上。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</w:t>
      </w:r>
    </w:p>
    <w:p>
      <w:pPr/>
      <w:r>
        <w:rPr>
          <w:b/>
        </w:rPr>
        <w:t>【价值引领】</w:t>
      </w:r>
      <w:r>
        <w:t>工具可以很快写出一份完整的方案，但方案中的每一个数字，都要由写下它的人负责。小何没有把AI的回答直接发出，而是追问了来源。这一步，是对社团成员和看到宣传的同学负责。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，输出往往泛泛而谈，也很难检查。</w:t>
      </w:r>
    </w:p>
    <w:p>
      <w:pPr>
        <w:ind w:firstLine="420"/>
      </w:pPr>
      <w:r>
        <w:t>一条较完整的提示词，通常包含五个要素。表2-1列出了它们的含义，并给出小何任务中的示例；图2-3以流程的方式展示了这五个要素如何汇集到提示词中，并进入模型输出。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提示词的五个要素与核验环节</w:t>
      </w:r>
    </w:p>
    <w:p>
      <w:pPr>
        <w:ind w:firstLine="420"/>
      </w:pPr>
      <w:r>
        <w:t>注意图2-3的最后一个环节：人工核验。无论提示词写得多么详细，输出都需要经过核验才能使用。五个要素的作用各不相同：角色和格式决定输出的“样子”，任务和背景决定输出的“内容范围”，约束则决定输出的“边界”。其中，约束最容易被忽略，却与后面的核验关系最密切。</w:t>
      </w:r>
    </w:p>
    <w:p>
      <w:pPr>
        <w:ind w:firstLine="420"/>
      </w:pPr>
      <w:r>
        <w:t>回到小何的案例。她第一次提问时只有任务，没有背景、格式和约束。模型缺少对象、规模和资源的信息，只好自行补充数字，这正是问题的起点。表2-2展示了她改写前后的两版提示词。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</w:t>
      </w:r>
    </w:p>
    <w:p>
      <w:pPr>
        <w:ind w:firstLine="420"/>
      </w:pPr>
      <w:r>
        <w:t>在实际使用中，角色设定也需要适度。“你是资深专家”这类角色常被当作提高准确率的办法，但它并不会让模型获得新的知识。角色的作用，主要是统一语气、视角和术语，让输出更贴近你要的读者。把角色当作“保证质量的开关”，是一种常见的误解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。这时，多轮追问就成为重要的工具。图2-4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追问的关键，是把问题指向具体的位置。“再写具体一点”这类要求往往只会得到更长的文字，而“第二段中的成本说法依据是什么”则能迫使模型给出可以检查的回答。表2-3列出了几种常用的追问句式。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表2-4记录了小何三轮对话的全过程。它显示，每一轮追问都有明确的目的，而且每一轮的处理结果都会影响下一步的做法。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的危险在于，它的格式与真实内容一模一样。文献的题目、作者的名字、期刊的卷期，都可以被完整地编写出来。图2-5概括了一种较为稳妥的做法：不通读就采用，而是把回答拆成一条条独立的陈述，按类型选择核对来源；找不到依据的内容，删除或标注待核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AI回答的逐条核对步骤（示意图）</w:t>
      </w:r>
    </w:p>
    <w:p>
      <w:pPr>
        <w:ind w:firstLine="420"/>
      </w:pPr>
      <w:r>
        <w:t>图2-6用时序的方式展示了核验的链条。学生与AI工具之间只是“提问—回答”的关系，而核验发生在学生与原始来源之间。找不到依据的内容，必须删除或标注，不能因为它“读起来合理”而保留。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核验的基本链条</w:t>
      </w:r>
    </w:p>
    <w:p>
      <w:pPr>
        <w:ind w:firstLine="420"/>
      </w:pPr>
      <w:r>
        <w:t>不同类型的内容，核验难度差别很大。图2-7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不同类型回答内容的核验难度（定性示意）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</w:t>
      </w:r>
    </w:p>
    <w:p>
      <w:pPr>
        <w:ind w:firstLine="420"/>
      </w:pPr>
      <w:r>
        <w:t>过时信息的问题在政策类内容上尤其明显。小何曾请模型介绍学校的某项报名政策，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敏感内容的问题同样需要注意。输入个人信息时，要先判断它是否必要。小何在请模型帮忙修改一封邮件时，原本贴入了同学的完整手机号和学号。她意识到这些信息与任务无关，于是删去了它们，只保留了必要的称谓和事由。第2.4节还会进一步讨论这一问题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t>前面三节主要讨论如何用好AI，本节讨论哪些事情不应该交给AI，以及使用之后需要承担哪些责任。这些问题与技术能力关系不大，却直接影响一份成果能否被信任。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脱敏处理。脱敏并不复杂：把姓名替换为“同学甲”，把学号和电话删除，把单位名称改为“某单位”，通常就足够完成修改任务。图2-8概括了这一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输入前的隐私检查步骤（示意图）</w:t>
      </w:r>
    </w:p>
    <w:p>
      <w:pPr>
        <w:ind w:firstLine="420"/>
      </w:pPr>
      <w:r>
        <w:t>署名与披露同样重要。在课程作业、社团宣传、单位报告中，如果使用了AI的文字、图片或数据分析，应当按要求说明。披露的内容应当具体：使用了哪款工具、在哪个环节使用、由谁审核。笼统地写“借助了AI工具”，并不能让读者判断哪些内容需要重点检查。</w:t>
      </w:r>
    </w:p>
    <w:p>
      <w:pPr>
        <w:ind w:firstLine="420"/>
      </w:pPr>
      <w:r>
        <w:t>学术诚信的边界需要特别注意。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AI参与环节的边界（参考）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责任的归属也需要明确。无论AI参与了多少环节，成果的作者或负责人始终是人。如果一份材料因为采用了未经核实的内容而造成误导，责任不会因为“是AI写的”而转移。这一点，是本教材反复强调的底线。</w:t>
      </w:r>
    </w:p>
    <w:p>
      <w:pPr/>
      <w:r>
        <w:t>在工作场景中，还有一类容易被忽视的风险：把单位的内部资料、客户信息或尚未公开的方案输入工具。即使工具的隐私条款表示不用于训练，也应事先征得单位同意，并遵守内部保密规定。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t>前面各节讲的是方法与边界，本节要求你亲手完成一次完整的任务。实训以小何的案例为原型，成果是一份校园垃圾分类宣传方案，并附上一份核验记录。实训分为准备、操作和交付三个阶段，共六个步骤。图2-9展示了整个流程。</w:t>
      </w:r>
    </w:p>
    <w:p>
      <w:pPr/>
      <w:r>
        <w:rPr>
          <w:b/>
        </w:rPr>
        <w:t>工具准备：</w:t>
      </w:r>
      <w:r>
        <w:t>准备：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</w:t>
      </w:r>
    </w:p>
    <w:p>
      <w:pPr/>
      <w:r>
        <w:t>第一步，填写任务单（表2-7）。任务单是实训的起点，它规定了角色、背景、交付物和约束。没有任务单，就无法判断结果是否合格。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第三步，生成初稿并多轮修改。根据图2-9的流程，如果初稿的结构不符合任务单，就进行追问；如果结构符合，就进入核验。修改时，每一轮都要记下提出的问题和得到的变化。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实训的基本流程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-10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具体数字改为可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/>
      <w:r>
        <w:t>实训的成果由三部分组成：方案正文、核验记录表和一段说明文字。评分依据见表2-9。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2-10中的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以本章实训为模板，选择一个你所在社团、班级或宿舍的真实需求（如活动宣传、预算测算、课程复习计划），完成一次完整的“任务单—提示词—多轮修改—核验—签字”流程，并提交核验记录。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三件事：提示词的五个要素，多轮追问的基本循环，以及大模型常见的局限。第2.4节又补充了隐私、署名与责任的边界。四者的共同点，是把使用者的判断放在每一步之中。提示词让模型知道该做什么，追问让回答更接近需求，核验则决定哪些内容可以真正被采用。实训则把这些方法串成一条完整的工作流程。图2-11概括了这一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本章工作流程小结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对照图2-7，选取一段你熟悉领域的回答，判断其中哪些内容属于“具体但难核对”，并说明你打算用什么来源去核实。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