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</w:t>
      </w:r>
    </w:p>
    <w:p>
      <w:pPr>
        <w:pStyle w:val="Heading2"/>
      </w:pPr>
      <w:r>
        <w:t>第1章　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按任务选择工具：目标、成本、隐私与可用性</w:t>
      </w:r>
    </w:p>
    <w:p>
      <w:pPr>
        <w:pStyle w:val="Heading3"/>
      </w:pPr>
      <w:r>
        <w:t>1.3 账号注册与基本设置，安全使用注意事项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1"/>
      </w:pPr>
      <w:r>
        <w:t>模块二　文本与知识工作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论文与报告的大纲生成与润色</w:t>
      </w:r>
    </w:p>
    <w:p>
      <w:pPr>
        <w:pStyle w:val="Heading3"/>
      </w:pPr>
      <w:r>
        <w:t>3.3 文案风格调整与多版本对比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个人知识库的建立与检索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学习计划与知识梳理：从课程内容生成复习框架</w:t>
      </w:r>
    </w:p>
    <w:p>
      <w:pPr>
        <w:pStyle w:val="Heading3"/>
      </w:pPr>
      <w:r>
        <w:t>5.3 研究问题拆解与结果核验：逐条检查AI给出的结论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用AI生成公式与数据清洗步骤</w:t>
      </w:r>
    </w:p>
    <w:p>
      <w:pPr>
        <w:pStyle w:val="Heading3"/>
      </w:pPr>
      <w:r>
        <w:t>6.2 数据透视与图表生成</w:t>
      </w:r>
    </w:p>
    <w:p>
      <w:pPr>
        <w:pStyle w:val="Heading3"/>
      </w:pPr>
      <w:r>
        <w:t>6.3 结果核验：如何检查AI给出的计算结果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AI生成PPT大纲与页面设计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模板化工作流：批量生成与整理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文生图的提示词与风格控制</w:t>
      </w:r>
    </w:p>
    <w:p>
      <w:pPr>
        <w:pStyle w:val="Heading3"/>
      </w:pPr>
      <w:r>
        <w:t>8.2 图片编辑与海报设计</w:t>
      </w:r>
    </w:p>
    <w:p>
      <w:pPr>
        <w:pStyle w:val="Heading3"/>
      </w:pPr>
      <w:r>
        <w:t>8.3 音频与视频的基础生成与剪辑辅助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创意内容的版权与标注要求</w:t>
      </w:r>
    </w:p>
    <w:p>
      <w:pPr>
        <w:pStyle w:val="Heading3"/>
      </w:pPr>
      <w:r>
        <w:t>9.3 作品展示与反馈修改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智能体的概念与常见类型</w:t>
      </w:r>
    </w:p>
    <w:p>
      <w:pPr>
        <w:pStyle w:val="Heading3"/>
      </w:pPr>
      <w:r>
        <w:t>10.2 在平台中配置一个简单智能体</w:t>
      </w:r>
    </w:p>
    <w:p>
      <w:pPr>
        <w:pStyle w:val="Heading3"/>
      </w:pPr>
      <w:r>
        <w:t>10.3 设定触发条件与人工确认步骤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任务拆分：把工作分解为可自动化的步骤</w:t>
      </w:r>
    </w:p>
    <w:p>
      <w:pPr>
        <w:pStyle w:val="Heading3"/>
      </w:pPr>
      <w:r>
        <w:t>11.2 低代码工作流的搭建与调试</w:t>
      </w:r>
    </w:p>
    <w:p>
      <w:pPr>
        <w:pStyle w:val="Heading3"/>
      </w:pPr>
      <w:r>
        <w:t>11.3 运行记录与错误排查</w:t>
      </w:r>
    </w:p>
    <w:p>
      <w:pPr>
        <w:pStyle w:val="Heading1"/>
      </w:pPr>
      <w:r>
        <w:t>模块六　综合实践与规范</w:t>
      </w:r>
    </w:p>
    <w:p>
      <w:pPr>
        <w:pStyle w:val="Heading2"/>
      </w:pPr>
      <w:r>
        <w:t>第12章　合规与安全</w:t>
      </w:r>
    </w:p>
    <w:p>
      <w:pPr>
        <w:pStyle w:val="Heading3"/>
      </w:pPr>
      <w:r>
        <w:t>12.1 个人信息与敏感数据的保护</w:t>
      </w:r>
    </w:p>
    <w:p>
      <w:pPr>
        <w:pStyle w:val="Heading3"/>
      </w:pPr>
      <w:r>
        <w:t>12.2 AI生成内容的标注与引用</w:t>
      </w:r>
    </w:p>
    <w:p>
      <w:pPr>
        <w:pStyle w:val="Heading3"/>
      </w:pPr>
      <w:r>
        <w:t>12.3 学术诚信与AI使用边界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</w:t>
      </w:r>
    </w:p>
    <w:p>
      <w:pPr>
        <w:pStyle w:val="Heading3"/>
      </w:pPr>
      <w:r>
        <w:t>13.3 成果展示、互评与复盘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合规与安全：个人信息保护，AI生成内容标注，学术诚信与使用边界。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