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-2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图8-2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r>
        <w:rPr>
          <w:b/>
        </w:rPr>
        <w:t>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pPr>
        <w:ind w:firstLine="420"/>
      </w:pPr>
      <w:r>
        <w:t xml:space="preserve">如果工具支持固定随机种子，同一段提示词在相同设置下可以得到相近的画面，便于比较两次修改之间的差异；如果工具不支持，则应当把每一次生成所使用的提示词、参数与结果一并保存。没有这些记录，就无法判断是提示词的改动，还是随机性带来了画面的变化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-3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同一个圆形的位图表示与矢量表示（示意）</w:t>
      </w:r>
    </w:p>
    <w:p>
      <w:pPr>
        <w:ind w:firstLine="420"/>
      </w:pPr>
      <w:r>
        <w:t>表8-2比较了两种图像的主要特征。在制作海报与图标时，通常可以把照片与复杂的插画保存为位图，把标志、图标和图形保存为矢量图。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表8-2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SVG是一种基于XML的矢量图形格式，它用文字描述图形的元素与属性。表8-3列出了几个基本元素。阅读SVG代码，就可以理解图形是怎样组成的；修改属性，就可以调整图形的位置、大小和颜色。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表8-3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r>
        <w:rPr>
          <w:b/>
        </w:rPr>
        <w:t>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pPr>
        <w:ind w:firstLine="420"/>
      </w:pPr>
      <w:r>
        <w:t xml:space="preserve">在制作一组海报时，图标的颜色最好使用同一组定义好的色值。在SVG中，可以把这些颜色写在同一处，或者在样式中统一定义，修改时只需更改一处，整组图标即可保持一致。这种做法也便于在更换配色方案时快速替换，而不必逐个图形地手工调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-4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 xml:space="preserve">多模态工具的结果，还需要与原始材料相互印证。例如，让工具根据视频字幕整理摘要时，应当抽查几处字幕与摘要之间的对应关系；让工具描述图像时，应当把描述中的每一个具体对象与画面逐一对照，包括数量、颜色与位置。描述越具体，越需要逐项核对，因为具体的错误比笼统的错误更容易误导读者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-4给出了一种脚本的结构。</w:t>
      </w:r>
    </w:p>
    <w:p>
      <w:pPr>
        <w:jc w:val="center"/>
      </w:pPr>
      <w:r>
        <w:rPr>
          <w:b/>
          <w:sz w:val="21"/>
        </w:rPr>
        <w:t>表8-4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r>
        <w:rPr>
          <w:b/>
        </w:rPr>
        <w:t>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-4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r>
        <w:rPr>
          <w:b/>
        </w:rPr>
        <w:t>片段与脚本的对应检查</w:t>
      </w:r>
    </w:p>
    <w:p>
      <w:pPr>
        <w:ind w:firstLine="420"/>
      </w:pPr>
      <w:r>
        <w:t>生成的视频片段往往与脚本中要求的时长并不完全一致，片段的起止画面也可能与预期有偏差。因此，每个片段都应当与脚本中的分段一一对应，并记录它使用的提示词版本、实际时长以及是否需要裁剪。若片段比脚本所需的时间短，应当考虑调整旁白的长度或更换片段，而不是让画面在静止中等待；若片段中出现了与脚本不符的人物动作或场景，应当重新生成，并在记录中写明原因。这样的对应记录，也便于在之后修改某一段时快速找到相应的素材。</w:t>
      </w:r>
    </w:p>
    <w:p>
      <w:pPr>
        <w:ind w:firstLine="420"/>
      </w:pPr>
      <w:r>
        <w:t xml:space="preserve">脚本本身也需要版本管理。每次修改都应当注明改动的段落与原因，并保留旧版。这样，当某一段画面被发现存在问题时，可以迅速定位它的来源，而不必重写整个脚本，也不会在修改中丢失已经确认无误的内容。</w:t>
      </w:r>
    </w:p>
    <w:p>
      <w:pPr>
        <w:ind w:firstLine="420"/>
      </w:pPr>
      <w:r>
        <w:t>图8-5以时间轴的形式展示了一段三十秒视频的分段结构。每一段的时长都应当与旁白字数相匹配，在制作之前用时间轴直观检查节奏，可以减少返工。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7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im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三十秒宣传视频的分段时间轴（示例数据）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实训的结构可以参考第5章5.5节与第7章7.5节：先明确目的与受众，再逐步完成生成、编辑、标识与记录，最后通过检查与试用支撑成果。表8-5列出了一种标识与披露记录的字段设计，供你在实训中参考。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生成图像的检查、标识与披露流程（示例）</w:t>
      </w:r>
    </w:p>
    <w:p>
      <w:pPr>
        <w:jc w:val="center"/>
      </w:pPr>
      <w:r>
        <w:rPr>
          <w:b/>
          <w:sz w:val="21"/>
        </w:rPr>
        <w:t>表8-5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同一组海报的统一性检查</w:t>
      </w:r>
    </w:p>
    <w:p>
      <w:pPr>
        <w:ind w:firstLine="420"/>
      </w:pPr>
      <w:r>
        <w:t>一组宣传海报要在视觉上构成整体，需要在生成与编辑之后逐项检查统一性。检查的内容包括：主色调与辅助色是否一致；字体的种类与字号层级是否统一；标志或活动名称的位置是否固定；画面的构图方式，如留白比例与主体位置，是否相近。若某一张海报与其他几张明显不同，应当先判断它是否有必要存在，再决定是重新生成还是调整参数。统一性的检查同样应当写入第8.5节的标识与披露记录，使作品的修改过程可以被复核。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实训的评价可以参考表8-6所示的量规。评价不仅关注海报是否美观，更关注图像是否真实、标识是否清楚、过程是否可以复现。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宣传海报实训的主要流程（示例）</w:t>
      </w:r>
    </w:p>
    <w:p>
      <w:pPr>
        <w:jc w:val="center"/>
      </w:pPr>
      <w:r>
        <w:rPr>
          <w:b/>
          <w:sz w:val="21"/>
        </w:rPr>
        <w:t>表8-6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pPr>
        <w:ind w:firstLine="420"/>
      </w:pPr>
      <w:r>
        <w:t xml:space="preserve">实训完成后，作品说明应当与作品一起保存，并列出所用工具的名称、版本与使用日期。这些信息与第5章科研留痕的要求一致，便于他人复现过程，也便于日后在需要时核查作品的来源。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-3）、一份视频分段脚本（表8-4），以及一份标识与披露记录（表8-5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图8-8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ind w:firstLine="420"/>
      </w:pPr>
      <w:r>
        <w:t>图8-9概括了本章的主要知识点及其关系，可以作为复习时的索引。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图8-9　第8章知识图谱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