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r>
        <w:rPr>
          <w:b/>
        </w:rPr>
        <w:t>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r>
        <w:rPr>
          <w:b/>
        </w:rPr>
        <w:t xml:space="preserve">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r>
        <w:rPr>
          <w:b/>
        </w:rPr>
        <w:t>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r>
        <w:rPr>
          <w:b/>
        </w:rPr>
        <w:t>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r>
        <w:rPr>
          <w:b/>
        </w:rPr>
        <w:t>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r>
        <w:rPr>
          <w:b/>
        </w:rPr>
        <w:t>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r>
        <w:rPr>
          <w:b/>
        </w:rPr>
        <w:t xml:space="preserve">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r>
        <w:rPr>
          <w:b/>
        </w:rPr>
        <w:t>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7.3节中对数据列格式与个人信息的检查相一致，也是最小权限原则在数据层面的体现。</w:t>
      </w:r>
    </w:p>
    <w:p>
      <w:r>
        <w:rPr>
          <w:b/>
        </w:rPr>
        <w:t>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r>
        <w:rPr>
          <w:b/>
        </w:rPr>
        <w:t>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r>
        <w:rPr>
          <w:b/>
        </w:rPr>
        <w:t xml:space="preserve">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r>
        <w:rPr>
          <w:b/>
        </w:rPr>
        <w:t>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-5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智能体操作的人工确认判断流程（示意）</w:t>
      </w:r>
    </w:p>
    <w:p>
      <w:pPr>
        <w:ind w:firstLine="420"/>
      </w:pPr>
      <w:r>
        <w:t>权限边界应当按照操作的风险进行分级。表10-4给出了一种常见的分级方式。分级的目的，是让每一类操作都有与之相称的控制方法，而不是对所有操作一律放行或一律禁止。</w:t>
      </w:r>
    </w:p>
    <w:p>
      <w:pPr>
        <w:jc w:val="center"/>
      </w:pPr>
      <w:r>
        <w:rPr>
          <w:b/>
          <w:sz w:val="21"/>
        </w:rPr>
        <w:t>表10-4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r>
        <w:rPr>
          <w:b/>
        </w:rPr>
        <w:t>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-4的级别分别开放权限。当任务结束后，应当及时收回不再需要的权限。</w:t>
      </w:r>
    </w:p>
    <w:p>
      <w:r>
        <w:rPr>
          <w:b/>
        </w:rPr>
        <w:t>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-5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表10-5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r>
        <w:rPr>
          <w:b/>
        </w:rPr>
        <w:t>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r>
        <w:rPr>
          <w:b/>
        </w:rPr>
        <w:t>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r>
        <w:rPr>
          <w:b/>
        </w:rPr>
        <w:t xml:space="preserve">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【练习】请为一个智能体列出它可能执行的五种操作，按照表10-4将它们分为四个权限级别，并说明每一个需确认操作的确认内容。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-4）；至少两次试运行的日志摘要；一份人工确认记录（参照表10-5）；以及一份不少于八百字的作品说明。</w:t>
      </w:r>
    </w:p>
    <w:p>
      <w:pPr>
        <w:ind w:firstLine="420"/>
      </w:pPr>
      <w:r>
        <w:t>实训可以按照图10-6所示的流程进行。与前面章节一样，它的顺序不宜颠倒。若先开放全部权限再考虑确认，常见的结果是权限已经被用于不该执行的操作，之后再补救就十分困难。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带人工确认的智能体实训流程（示例）</w:t>
      </w:r>
    </w:p>
    <w:p>
      <w:pPr>
        <w:ind w:firstLine="420"/>
      </w:pPr>
      <w:r>
        <w:t>实训的评价可以参考表10-6所示的量规。评价重点关注配置是否清楚、权限是否与风险相称、确认是否真实有效，以及失败时的处理是否可行。</w:t>
      </w:r>
    </w:p>
    <w:p>
      <w:pPr>
        <w:jc w:val="center"/>
      </w:pPr>
      <w:r>
        <w:rPr>
          <w:b/>
          <w:sz w:val="21"/>
        </w:rPr>
        <w:t>表10-6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r>
        <w:rPr>
          <w:b/>
        </w:rPr>
        <w:t xml:space="preserve">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r>
        <w:rPr>
          <w:b/>
        </w:rPr>
        <w:t>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r>
        <w:rPr>
          <w:b/>
        </w:rPr>
        <w:t>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