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00" w:before="0" w:after="240"/>
        <w:jc w:val="center"/>
      </w:pPr>
      <w:r>
        <w:rPr>
          <w:rFonts w:ascii="Times New Roman" w:hAnsi="Times New Roman" w:cs="Times New Roman" w:eastAsia="黑体"/>
          <w:b/>
          <w:sz w:val="32"/>
        </w:rPr>
        <w:t>写作规则（全书统一）</w:t>
      </w:r>
    </w:p>
    <w:p>
      <w:pPr>
        <w:keepNext/>
        <w:spacing w:lineRule="exact" w:line="400" w:before="240" w:after="120"/>
      </w:pPr>
      <w:r>
        <w:rPr>
          <w:rFonts w:ascii="Times New Roman" w:hAnsi="Times New Roman" w:cs="Times New Roman" w:eastAsia="黑体"/>
          <w:b/>
          <w:sz w:val="28"/>
        </w:rPr>
        <w:t>一、全书定位与读者</w:t>
      </w:r>
    </w:p>
    <w:p>
      <w:pPr>
        <w:spacing w:lineRule="exact" w:line="400" w:before="0" w:after="0"/>
        <w:ind w:left="480" w:hanging="240"/>
      </w:pPr>
      <w:r>
        <w:rPr>
          <w:rFonts w:ascii="Times New Roman" w:hAnsi="Times New Roman" w:cs="Times New Roman" w:eastAsia="宋体"/>
          <w:b w:val="0"/>
          <w:sz w:val="24"/>
        </w:rPr>
        <w:t>• 教材面向高职学生，会计与非会计专业（含全校选修）。</w:t>
      </w:r>
    </w:p>
    <w:p>
      <w:pPr>
        <w:spacing w:lineRule="exact" w:line="400" w:before="0" w:after="0"/>
        <w:ind w:left="480" w:hanging="240"/>
      </w:pPr>
      <w:r>
        <w:rPr>
          <w:rFonts w:ascii="Times New Roman" w:hAnsi="Times New Roman" w:cs="Times New Roman" w:eastAsia="宋体"/>
          <w:b w:val="0"/>
          <w:sz w:val="24"/>
        </w:rPr>
        <w:t>• 项目化：模块 → 项目 → 任务。项目1—13每项目3个任务；项目14为终篇，设4个任务。</w:t>
      </w:r>
    </w:p>
    <w:p>
      <w:pPr>
        <w:spacing w:lineRule="exact" w:line="400" w:before="0" w:after="0"/>
        <w:ind w:left="480" w:hanging="240"/>
      </w:pPr>
      <w:r>
        <w:rPr>
          <w:rFonts w:ascii="Times New Roman" w:hAnsi="Times New Roman" w:cs="Times New Roman" w:eastAsia="宋体"/>
          <w:b w:val="0"/>
          <w:sz w:val="24"/>
        </w:rPr>
        <w:t>• 字数：项目2、3约1.2–1.5万字；项目4为1.5–2万字。写作要有实际价值，不为凑字数写空话；每段要服务于本任务的核心概念或操作。</w:t>
      </w:r>
    </w:p>
    <w:p>
      <w:pPr>
        <w:spacing w:lineRule="exact" w:line="400" w:before="0" w:after="0"/>
        <w:ind w:left="480" w:hanging="240"/>
      </w:pPr>
      <w:r>
        <w:rPr>
          <w:rFonts w:ascii="Times New Roman" w:hAnsi="Times New Roman" w:cs="Times New Roman" w:eastAsia="宋体"/>
          <w:b w:val="0"/>
          <w:sz w:val="24"/>
        </w:rPr>
        <w:t>• 主线：校园线为星空读书会一学期的社团财务，职业线为虚构小微企业青禾文具。每个任务原则上成对呈现两条线；同一知识点分别使用各自的数据，两线数据不得混用。</w:t>
      </w:r>
    </w:p>
    <w:p>
      <w:pPr>
        <w:keepNext/>
        <w:spacing w:lineRule="exact" w:line="400" w:before="240" w:after="120"/>
      </w:pPr>
      <w:r>
        <w:rPr>
          <w:rFonts w:ascii="Times New Roman" w:hAnsi="Times New Roman" w:cs="Times New Roman" w:eastAsia="黑体"/>
          <w:b/>
          <w:sz w:val="28"/>
        </w:rPr>
        <w:t>二、项目与任务结构</w:t>
      </w:r>
    </w:p>
    <w:p>
      <w:pPr>
        <w:spacing w:lineRule="exact" w:line="400" w:before="0" w:after="0"/>
        <w:ind w:left="480" w:hanging="240"/>
      </w:pPr>
      <w:r>
        <w:rPr>
          <w:rFonts w:ascii="Times New Roman" w:hAnsi="Times New Roman" w:cs="Times New Roman" w:eastAsia="宋体"/>
          <w:b w:val="0"/>
          <w:sz w:val="24"/>
        </w:rPr>
        <w:t>• 项目标题：以“从一件生活事说起：财务词”形式，含生活词与财务词，不写“AI”。</w:t>
      </w:r>
    </w:p>
    <w:p>
      <w:pPr/>
      <w:r>
        <w:t>• 目录v7是写作规划基线。正文与目录不一致时，结合教学目标、实际覆盖范围和前后任务逻辑逐项判断，不机械要求正文或目录单方优先；有合理的内容深化或细化时保留正文并修订目录，造成范围偏移或衔接断裂时修正文稿。</w:t>
      </w:r>
    </w:p>
    <w:p>
      <w:pPr/>
      <w:r>
        <w:t>• 前后项目的知识依赖须按实际编排顺序表述：未学内容使用“将在后续项目学习”等前瞻表述，不得写成“前面已经学过”；引用前后项目的数据时，须核对来源与口径。</w:t>
      </w:r>
    </w:p>
    <w:p>
      <w:pPr>
        <w:spacing w:lineRule="exact" w:line="400" w:before="0" w:after="0"/>
        <w:ind w:left="480" w:hanging="240"/>
      </w:pPr>
      <w:r>
        <w:rPr>
          <w:rFonts w:ascii="Times New Roman" w:hAnsi="Times New Roman" w:cs="Times New Roman" w:eastAsia="宋体"/>
          <w:b w:val="0"/>
          <w:sz w:val="24"/>
        </w:rPr>
        <w:t>• 任务标题：突出学生能完成的技能或成果；AI是任务核心时可写入“AI”，但不要求每个任务标题都出现“AI”。</w:t>
      </w:r>
    </w:p>
    <w:p>
      <w:pPr>
        <w:spacing w:lineRule="exact" w:line="400" w:before="0" w:after="0"/>
        <w:ind w:left="480" w:hanging="240"/>
      </w:pPr>
      <w:r>
        <w:rPr>
          <w:rFonts w:ascii="Times New Roman" w:hAnsi="Times New Roman" w:cs="Times New Roman" w:eastAsia="宋体"/>
          <w:b w:val="0"/>
          <w:sz w:val="24"/>
        </w:rPr>
        <w:t>• 每任务一个核心概念，一处思政园地。</w:t>
      </w:r>
    </w:p>
    <w:p>
      <w:pPr>
        <w:spacing w:lineRule="exact" w:line="400" w:before="0" w:after="0"/>
        <w:ind w:left="480" w:hanging="240"/>
      </w:pPr>
      <w:r>
        <w:rPr>
          <w:rFonts w:ascii="Times New Roman" w:hAnsi="Times New Roman" w:cs="Times New Roman" w:eastAsia="宋体"/>
          <w:b w:val="0"/>
          <w:sz w:val="24"/>
        </w:rPr>
        <w:t>• 任务内顺序：导入（校园线 / 职业线成对）→ 专业知识（必要时标注【通识】）→ 技能实践/AI操作 → 回到案例 → 常见误区 → 思政园地 → 【练习】→ 小结。拓展内容不穿插在任务正文中。</w:t>
      </w:r>
    </w:p>
    <w:p>
      <w:pPr>
        <w:spacing w:lineRule="exact" w:line="400" w:before="0" w:after="0"/>
        <w:ind w:left="480" w:hanging="240"/>
      </w:pPr>
      <w:r>
        <w:t>• 项目1—13的核心任务与项目总结（含知识图谱）之后，统一设置“【拓展】（选学）”板块，置于项目末尾；将任务中的拓展内容集中迁移至该板块，并标明对应任务。会计深入内容只放拓展。项目14为终篇综合实战，若综合练习已覆盖全书能力且无必要拓展内容，可由综合练习收束，不强行添加重复拓展。</w:t>
      </w:r>
    </w:p>
    <w:p>
      <w:pPr>
        <w:spacing w:lineRule="exact" w:line="400" w:before="0" w:after="0"/>
        <w:ind w:left="480" w:hanging="240"/>
      </w:pPr>
      <w:r>
        <w:rPr>
          <w:rFonts w:ascii="Times New Roman" w:hAnsi="Times New Roman" w:cs="Times New Roman" w:eastAsia="宋体"/>
          <w:b w:val="0"/>
          <w:sz w:val="24"/>
        </w:rPr>
        <w:t>• 项目末尾：项目总结（不写“项目小结”），含表格核心概念与做法，以及本项目知识图谱。</w:t>
      </w:r>
    </w:p>
    <w:p>
      <w:pPr>
        <w:spacing w:lineRule="exact" w:line="400" w:before="0" w:after="0"/>
        <w:ind w:left="480" w:hanging="240"/>
      </w:pPr>
      <w:r>
        <w:rPr>
          <w:rFonts w:ascii="Times New Roman" w:hAnsi="Times New Roman" w:cs="Times New Roman" w:eastAsia="宋体"/>
          <w:b w:val="0"/>
          <w:sz w:val="24"/>
        </w:rPr>
        <w:t>• 学习目标：用思维导图展示（图x-1）。</w:t>
      </w:r>
    </w:p>
    <w:p>
      <w:pPr>
        <w:keepNext/>
        <w:spacing w:lineRule="exact" w:line="400" w:before="240" w:after="120"/>
      </w:pPr>
      <w:r>
        <w:t>三、法规及动态信息处理原则</w:t>
      </w:r>
    </w:p>
    <w:p>
      <w:pPr>
        <w:spacing w:lineRule="exact" w:line="400" w:before="0" w:after="0"/>
        <w:ind w:left="480" w:hanging="240"/>
      </w:pPr>
      <w:r>
        <w:t>• 正式书稿原则上不摘录具体法律法规条文，不列时效性法规索引；保留完成教学任务所必需的稳定操作原则，并说明复杂或不确定事项应核验当时有效要求。</w:t>
      </w:r>
    </w:p>
    <w:p>
      <w:pPr>
        <w:spacing w:lineRule="exact" w:line="400" w:before="0" w:after="0"/>
        <w:ind w:left="480" w:hanging="240"/>
      </w:pPr>
      <w:r>
        <w:t>• 涉及税务、票据、会计处理和数据保护等动态要求，出版前由编辑依据官方现行文本复核；必要时注明案例或数据适用时点，不将模型输出作为法规依据。</w:t>
      </w:r>
    </w:p>
    <w:p>
      <w:pPr>
        <w:spacing w:lineRule="exact" w:line="400" w:before="0" w:after="0"/>
        <w:ind w:left="480" w:hanging="240"/>
      </w:pPr>
      <w:r>
        <w:t>• 法律法规与准则名称、条款及官方来源仅供编者内部审校备查，不直接编入正式书稿；不确定、无法核实或已失效的信息不写入教材。</w:t>
      </w:r>
    </w:p>
    <w:p>
      <w:pPr>
        <w:spacing w:lineRule="exact" w:line="400" w:before="0" w:after="0"/>
        <w:ind w:left="480" w:hanging="240"/>
      </w:pPr>
      <w:r>
        <w:t>• 可设计学生识别信息时效与核验来源的练习，不要求背诵或复述固定条文。</w:t>
      </w:r>
    </w:p>
    <w:p>
      <w:pPr>
        <w:keepNext/>
        <w:spacing w:lineRule="exact" w:line="400" w:before="240" w:after="120"/>
      </w:pPr>
      <w:r>
        <w:rPr>
          <w:rFonts w:ascii="Times New Roman" w:hAnsi="Times New Roman" w:cs="Times New Roman" w:eastAsia="黑体"/>
          <w:b/>
          <w:sz w:val="28"/>
        </w:rPr>
        <w:t>四、版式（全书统一，不得按项目变化）</w:t>
      </w:r>
    </w:p>
    <w:p>
      <w:pPr>
        <w:spacing w:lineRule="exact" w:line="400" w:before="0" w:after="0"/>
        <w:ind w:left="480" w:hanging="240"/>
      </w:pPr>
      <w:r>
        <w:rPr>
          <w:rFonts w:ascii="Times New Roman" w:hAnsi="Times New Roman" w:cs="Times New Roman" w:eastAsia="宋体"/>
          <w:b w:val="0"/>
          <w:sz w:val="24"/>
        </w:rPr>
        <w:t>• 纸张：A4；页边距左右3.17cm，上下2.54cm；页脚居中页码（宋体9pt）。</w:t>
      </w:r>
    </w:p>
    <w:p>
      <w:pPr>
        <w:spacing w:lineRule="exact" w:line="400" w:before="0" w:after="0"/>
        <w:ind w:left="480" w:hanging="240"/>
      </w:pPr>
      <w:r>
        <w:rPr>
          <w:rFonts w:ascii="Times New Roman" w:hAnsi="Times New Roman" w:cs="Times New Roman" w:eastAsia="宋体"/>
          <w:b w:val="0"/>
          <w:sz w:val="24"/>
        </w:rPr>
        <w:t>• 正文：宋体小四（12pt），固定行距20磅，首行缩进2字符，段前段后0。</w:t>
      </w:r>
    </w:p>
    <w:p>
      <w:pPr>
        <w:spacing w:lineRule="exact" w:line="400" w:before="0" w:after="0"/>
        <w:ind w:left="480" w:hanging="240"/>
      </w:pPr>
      <w:r>
        <w:rPr>
          <w:rFonts w:ascii="Times New Roman" w:hAnsi="Times New Roman" w:cs="Times New Roman" w:eastAsia="宋体"/>
          <w:b w:val="0"/>
          <w:sz w:val="24"/>
        </w:rPr>
        <w:t>• 一级标题（项目标题）：黑体三号（16pt）居中。</w:t>
      </w:r>
    </w:p>
    <w:p>
      <w:pPr>
        <w:spacing w:lineRule="exact" w:line="400" w:before="0" w:after="0"/>
        <w:ind w:left="480" w:hanging="240"/>
      </w:pPr>
      <w:r>
        <w:rPr>
          <w:rFonts w:ascii="Times New Roman" w:hAnsi="Times New Roman" w:cs="Times New Roman" w:eastAsia="宋体"/>
          <w:b w:val="0"/>
          <w:sz w:val="24"/>
        </w:rPr>
        <w:t>• 二级标题（任务标题、模块标题）：黑体四号（14pt）。</w:t>
      </w:r>
    </w:p>
    <w:p>
      <w:pPr>
        <w:spacing w:lineRule="exact" w:line="400" w:before="0" w:after="0"/>
        <w:ind w:left="480" w:hanging="240"/>
      </w:pPr>
      <w:r>
        <w:rPr>
          <w:rFonts w:ascii="Times New Roman" w:hAnsi="Times New Roman" w:cs="Times New Roman" w:eastAsia="宋体"/>
          <w:b w:val="0"/>
          <w:sz w:val="24"/>
        </w:rPr>
        <w:t>• 三级标题（小节）：黑体小四加粗。</w:t>
      </w:r>
    </w:p>
    <w:p>
      <w:pPr>
        <w:spacing w:lineRule="exact" w:line="400" w:before="0" w:after="0"/>
        <w:ind w:left="480" w:hanging="240"/>
      </w:pPr>
      <w:r>
        <w:rPr>
          <w:rFonts w:ascii="Times New Roman" w:hAnsi="Times New Roman" w:cs="Times New Roman" w:eastAsia="宋体"/>
          <w:b w:val="0"/>
          <w:sz w:val="24"/>
        </w:rPr>
        <w:t>• 表题：黑体五号（10.5pt）居中，位于表上方，格式“表x-y 标题”。</w:t>
      </w:r>
    </w:p>
    <w:p>
      <w:pPr>
        <w:spacing w:lineRule="exact" w:line="400" w:before="0" w:after="0"/>
        <w:ind w:left="480" w:hanging="240"/>
      </w:pPr>
      <w:r>
        <w:rPr>
          <w:rFonts w:ascii="Times New Roman" w:hAnsi="Times New Roman" w:cs="Times New Roman" w:eastAsia="宋体"/>
          <w:b w:val="0"/>
          <w:sz w:val="24"/>
        </w:rPr>
        <w:t>• 表格：宋体五号（10.5pt），单倍行距，表头加粗居中，网格边框。</w:t>
      </w:r>
    </w:p>
    <w:p>
      <w:pPr>
        <w:spacing w:lineRule="exact" w:line="400" w:before="0" w:after="0"/>
        <w:ind w:left="480" w:hanging="240"/>
      </w:pPr>
      <w:r>
        <w:rPr>
          <w:rFonts w:ascii="Times New Roman" w:hAnsi="Times New Roman" w:cs="Times New Roman" w:eastAsia="宋体"/>
          <w:b w:val="0"/>
          <w:sz w:val="24"/>
        </w:rPr>
        <w:t>• 西文：Times New Roman。</w:t>
      </w:r>
    </w:p>
    <w:p>
      <w:pPr>
        <w:spacing w:lineRule="exact" w:line="400" w:before="0" w:after="0"/>
        <w:ind w:left="480" w:hanging="240"/>
      </w:pPr>
      <w:r>
        <w:rPr>
          <w:rFonts w:ascii="Times New Roman" w:hAnsi="Times New Roman" w:cs="Times New Roman" w:eastAsia="宋体"/>
          <w:b w:val="0"/>
          <w:sz w:val="24"/>
        </w:rPr>
        <w:t>• 图片：锚定式，环绕方式为上下型（wrapTopAndBottom），段落居中。</w:t>
      </w:r>
    </w:p>
    <w:p>
      <w:pPr>
        <w:spacing w:lineRule="exact" w:line="400" w:before="0" w:after="0"/>
        <w:ind w:left="480" w:hanging="240"/>
      </w:pPr>
      <w:r>
        <w:rPr>
          <w:rFonts w:ascii="Times New Roman" w:hAnsi="Times New Roman" w:cs="Times New Roman" w:eastAsia="宋体"/>
          <w:b w:val="0"/>
          <w:sz w:val="24"/>
        </w:rPr>
        <w:t>• 图注：紧跟图片下方，宋体五号，居中，格式“图x-y 说明”。</w:t>
      </w:r>
    </w:p>
    <w:p>
      <w:pPr>
        <w:keepNext/>
        <w:spacing w:lineRule="exact" w:line="400" w:before="240" w:after="120"/>
      </w:pPr>
      <w:r>
        <w:rPr>
          <w:rFonts w:ascii="Times New Roman" w:hAnsi="Times New Roman" w:cs="Times New Roman" w:eastAsia="黑体"/>
          <w:b/>
          <w:sz w:val="28"/>
        </w:rPr>
        <w:t>五、图的规则</w:t>
      </w:r>
    </w:p>
    <w:p>
      <w:pPr>
        <w:spacing w:lineRule="exact" w:line="400" w:before="0" w:after="0"/>
        <w:ind w:left="480" w:hanging="240"/>
      </w:pPr>
      <w:r>
        <w:rPr>
          <w:rFonts w:ascii="Times New Roman" w:hAnsi="Times New Roman" w:cs="Times New Roman" w:eastAsia="宋体"/>
          <w:b w:val="0"/>
          <w:sz w:val="24"/>
        </w:rPr>
        <w:t>• 编号：图x-y，按出现顺序连续编号。项目末的知识图谱编号排在最后。</w:t>
      </w:r>
    </w:p>
    <w:p>
      <w:pPr>
        <w:spacing w:lineRule="exact" w:line="400" w:before="0" w:after="0"/>
        <w:ind w:left="480" w:hanging="240"/>
      </w:pPr>
      <w:r>
        <w:rPr>
          <w:rFonts w:ascii="Times New Roman" w:hAnsi="Times New Roman" w:cs="Times New Roman" w:eastAsia="宋体"/>
          <w:b w:val="0"/>
          <w:sz w:val="24"/>
        </w:rPr>
        <w:t>• 类型：按内容选择。本书常用：思维导图（学习目标）、知识图谱（项目总结）、饼图、柱状图、折线图、流程图、时间线图、表格不作图。</w:t>
      </w:r>
    </w:p>
    <w:p>
      <w:pPr>
        <w:spacing w:lineRule="exact" w:line="400" w:before="0" w:after="0"/>
        <w:ind w:left="480" w:hanging="240"/>
      </w:pPr>
      <w:r>
        <w:rPr>
          <w:rFonts w:ascii="Times New Roman" w:hAnsi="Times New Roman" w:cs="Times New Roman" w:eastAsia="宋体"/>
          <w:b w:val="0"/>
          <w:sz w:val="24"/>
        </w:rPr>
        <w:t>• 样式（全部图统一，不得每项目一套）：</w:t>
      </w:r>
    </w:p>
    <w:p>
      <w:pPr>
        <w:spacing w:lineRule="exact" w:line="400" w:before="0" w:after="0"/>
        <w:ind w:left="480" w:hanging="240"/>
      </w:pPr>
      <w:r>
        <w:rPr>
          <w:rFonts w:ascii="Times New Roman" w:hAnsi="Times New Roman" w:cs="Times New Roman" w:eastAsia="宋体"/>
          <w:b w:val="0"/>
          <w:sz w:val="24"/>
        </w:rPr>
        <w:t>• 配色：深藏青 #1F3A5F（中心节点与任务节点，白字），浅蓝云朵底 #EAF1F8（任务所在区域），节点底 #E8F0F8（深藏青边框，深字）；连线浅灰 #9AA8B8（实线为主干，虚线为交叉关系并标注关系词）。</w:t>
      </w:r>
    </w:p>
    <w:p>
      <w:pPr>
        <w:spacing w:lineRule="exact" w:line="400" w:before="0" w:after="0"/>
        <w:ind w:left="480" w:hanging="240"/>
      </w:pPr>
      <w:r>
        <w:rPr>
          <w:rFonts w:ascii="Times New Roman" w:hAnsi="Times New Roman" w:cs="Times New Roman" w:eastAsia="宋体"/>
          <w:b w:val="0"/>
          <w:sz w:val="24"/>
        </w:rPr>
        <w:t>• 字体：Noto Sans SC（思源黑体）常规字重；字号统一。</w:t>
      </w:r>
    </w:p>
    <w:p>
      <w:pPr>
        <w:spacing w:lineRule="exact" w:line="400" w:before="0" w:after="0"/>
        <w:ind w:left="480" w:hanging="240"/>
      </w:pPr>
      <w:r>
        <w:rPr>
          <w:rFonts w:ascii="Times New Roman" w:hAnsi="Times New Roman" w:cs="Times New Roman" w:eastAsia="宋体"/>
          <w:b w:val="0"/>
          <w:sz w:val="24"/>
        </w:rPr>
        <w:t>• 白底，无标题文字（标题由正文图注承担）。</w:t>
      </w:r>
    </w:p>
    <w:p>
      <w:pPr>
        <w:spacing w:lineRule="exact" w:line="400" w:before="0" w:after="0"/>
        <w:ind w:left="480" w:hanging="240"/>
      </w:pPr>
      <w:r>
        <w:rPr>
          <w:rFonts w:ascii="Times New Roman" w:hAnsi="Times New Roman" w:cs="Times New Roman" w:eastAsia="宋体"/>
          <w:b w:val="0"/>
          <w:sz w:val="24"/>
        </w:rPr>
        <w:t>• 知识图谱：</w:t>
      </w:r>
    </w:p>
    <w:p>
      <w:pPr>
        <w:spacing w:lineRule="exact" w:line="400" w:before="0" w:after="0"/>
        <w:ind w:left="480" w:hanging="240"/>
      </w:pPr>
      <w:r>
        <w:rPr>
          <w:rFonts w:ascii="Times New Roman" w:hAnsi="Times New Roman" w:cs="Times New Roman" w:eastAsia="宋体"/>
          <w:b w:val="0"/>
          <w:sz w:val="24"/>
        </w:rPr>
        <w:t>• 云朵状发散网状结构，中心节点为本项目名称；每个任务为一朵浅蓝云，内含任务节点与知识点节点。</w:t>
      </w:r>
    </w:p>
    <w:p>
      <w:pPr>
        <w:spacing w:lineRule="exact" w:line="400" w:before="0" w:after="0"/>
        <w:ind w:left="480" w:hanging="240"/>
      </w:pPr>
      <w:r>
        <w:rPr>
          <w:rFonts w:ascii="Times New Roman" w:hAnsi="Times New Roman" w:cs="Times New Roman" w:eastAsia="宋体"/>
          <w:b w:val="0"/>
          <w:sz w:val="24"/>
        </w:rPr>
        <w:t>• 不得画成矩阵、分列网格或树形；连线需闭合并标注关系。</w:t>
      </w:r>
    </w:p>
    <w:p>
      <w:pPr>
        <w:spacing w:lineRule="exact" w:line="400" w:before="0" w:after="0"/>
        <w:ind w:left="480" w:hanging="240"/>
      </w:pPr>
      <w:r>
        <w:rPr>
          <w:rFonts w:ascii="Times New Roman" w:hAnsi="Times New Roman" w:cs="Times New Roman" w:eastAsia="宋体"/>
          <w:b w:val="0"/>
          <w:sz w:val="24"/>
        </w:rPr>
        <w:t>• 名称统一为“知识图谱”；图注格式“图x-y 本项目知识图谱”。</w:t>
      </w:r>
    </w:p>
    <w:p>
      <w:pPr>
        <w:spacing w:lineRule="exact" w:line="400" w:before="0" w:after="0"/>
        <w:ind w:left="480" w:hanging="240"/>
      </w:pPr>
      <w:r>
        <w:rPr>
          <w:rFonts w:ascii="Times New Roman" w:hAnsi="Times New Roman" w:cs="Times New Roman" w:eastAsia="宋体"/>
          <w:b w:val="0"/>
          <w:sz w:val="24"/>
        </w:rPr>
        <w:t>• 学习目标思维导图（必须是树形卡片样式，不是知识图谱）：顶部为深藏青标题框（“项目名（项目N）”，白字）；下面三列卡片，依次为知识目标、能力目标、素养目标；每列卡片顶部为浅蓝标题栏（#E8F0F8，深藏青字），下面用“•”列出三条要点。连线为深藏青直角折线。参照 图2-1、图4-1；绘图函数为 kgstyle.mindmap_cards()。</w:t>
      </w:r>
    </w:p>
    <w:p>
      <w:pPr>
        <w:spacing w:lineRule="exact" w:line="400" w:before="0" w:after="0"/>
        <w:ind w:left="480" w:hanging="240"/>
      </w:pPr>
      <w:r>
        <w:rPr>
          <w:rFonts w:ascii="Times New Roman" w:hAnsi="Times New Roman" w:cs="Times New Roman" w:eastAsia="宋体"/>
          <w:b w:val="0"/>
          <w:sz w:val="24"/>
        </w:rPr>
        <w:t>• 知识图谱（项目总结）：云朵式网状结构，与思维导图样式严格区分，不得混用。</w:t>
      </w:r>
    </w:p>
    <w:p>
      <w:pPr>
        <w:spacing w:lineRule="exact" w:line="400" w:before="0" w:after="0"/>
        <w:ind w:left="480" w:hanging="240"/>
      </w:pPr>
      <w:r>
        <w:rPr>
          <w:rFonts w:ascii="Times New Roman" w:hAnsi="Times New Roman" w:cs="Times New Roman" w:eastAsia="宋体"/>
          <w:b w:val="0"/>
          <w:sz w:val="24"/>
        </w:rPr>
        <w:t>• 其他图（饼图、柱状图、折线图、流程图）：也用上述配色；流程图框线与箭头统一，不得出现文字溢出或回环箭头遮挡。</w:t>
      </w:r>
    </w:p>
    <w:p>
      <w:pPr>
        <w:spacing w:lineRule="exact" w:line="400" w:before="0" w:after="0"/>
        <w:ind w:left="480" w:hanging="240"/>
      </w:pPr>
      <w:r>
        <w:rPr>
          <w:rFonts w:ascii="Times New Roman" w:hAnsi="Times New Roman" w:cs="Times New Roman" w:eastAsia="宋体"/>
          <w:b w:val="0"/>
          <w:sz w:val="24"/>
        </w:rPr>
        <w:t>• 人物场景图：每个项目至少一张，放在第一个任务“导入”之后，用于交代生活场景。图中出现的命名人物，外貌须与第八节设定一致；主角为小何。</w:t>
      </w:r>
    </w:p>
    <w:p>
      <w:pPr>
        <w:spacing w:lineRule="exact" w:line="400" w:before="0" w:after="0"/>
        <w:ind w:left="480" w:hanging="240"/>
      </w:pPr>
      <w:r>
        <w:rPr>
          <w:rFonts w:ascii="Times New Roman" w:hAnsi="Times New Roman" w:cs="Times New Roman" w:eastAsia="宋体"/>
          <w:b w:val="0"/>
          <w:sz w:val="24"/>
        </w:rPr>
        <w:t>• 流程图（参照图4-7）：白底，蓝色圆角框（#2E6DB4），判断框为琥珀色菱形（#B07A1E，填充#FFF7E6），箭头深灰（#4A5568），“是/否”标注在分支线上。</w:t>
      </w:r>
    </w:p>
    <w:p>
      <w:pPr>
        <w:spacing w:lineRule="exact" w:line="400" w:before="0" w:after="0"/>
        <w:ind w:left="480" w:hanging="240"/>
      </w:pPr>
      <w:r>
        <w:rPr>
          <w:rFonts w:ascii="Times New Roman" w:hAnsi="Times New Roman" w:cs="Times New Roman" w:eastAsia="宋体"/>
          <w:b w:val="0"/>
          <w:sz w:val="24"/>
        </w:rPr>
        <w:t>• 数据图（饼图、柱状图、折线图）：深藏青（#1F3A5F）为主色，浅蓝（#9CB8D6、#6F8FB5）为辅色，去掉上方和右侧边框，网格线浅灰。</w:t>
      </w:r>
    </w:p>
    <w:p>
      <w:pPr>
        <w:spacing w:lineRule="exact" w:line="400" w:before="0" w:after="0"/>
        <w:ind w:left="480" w:hanging="240"/>
      </w:pPr>
      <w:r>
        <w:rPr>
          <w:rFonts w:ascii="Times New Roman" w:hAnsi="Times New Roman" w:cs="Times New Roman" w:eastAsia="宋体"/>
          <w:b w:val="0"/>
          <w:sz w:val="24"/>
        </w:rPr>
        <w:t>• 图表与插图应保存为正式稿实际使用的文件；保留源文件时应与正式稿分开管理，避免绝对路径或临时路径成为交付依赖。</w:t>
      </w:r>
    </w:p>
    <w:p>
      <w:pPr>
        <w:keepNext/>
        <w:spacing w:lineRule="exact" w:line="400" w:before="240" w:after="120"/>
      </w:pPr>
      <w:r>
        <w:rPr>
          <w:rFonts w:ascii="Times New Roman" w:hAnsi="Times New Roman" w:cs="Times New Roman" w:eastAsia="黑体"/>
          <w:b/>
          <w:sz w:val="28"/>
        </w:rPr>
        <w:t>六、生成与文件管理</w:t>
      </w:r>
    </w:p>
    <w:p>
      <w:pPr>
        <w:spacing w:lineRule="exact" w:line="400" w:before="0" w:after="0"/>
        <w:ind w:left="480" w:hanging="240"/>
      </w:pPr>
      <w:r>
        <w:rPr>
          <w:rFonts w:ascii="Times New Roman" w:hAnsi="Times New Roman" w:cs="Times New Roman" w:eastAsia="宋体"/>
          <w:b w:val="0"/>
          <w:sz w:val="24"/>
        </w:rPr>
        <w:t>• 正式交付目录仅保留最新版本的Word（.docx）与正文实际引用的图片文件；未使用素材、脚本和源稿不得混入正式交付目录。</w:t>
      </w:r>
    </w:p>
    <w:p>
      <w:pPr>
        <w:spacing w:lineRule="exact" w:line="400" w:before="0" w:after="0"/>
        <w:ind w:left="480" w:hanging="240"/>
      </w:pPr>
      <w:r>
        <w:rPr>
          <w:rFonts w:ascii="Times New Roman" w:hAnsi="Times New Roman" w:cs="Times New Roman" w:eastAsia="宋体"/>
          <w:b w:val="0"/>
          <w:sz w:val="24"/>
        </w:rPr>
        <w:t>• 文档名带版本序号：如“项目3_范例_v2.docx”。同版本可覆盖；新版本另起序号，旧版删除（git rm）。</w:t>
      </w:r>
    </w:p>
    <w:p>
      <w:pPr>
        <w:spacing w:lineRule="exact" w:line="400" w:before="0" w:after="0"/>
        <w:ind w:left="480" w:hanging="240"/>
      </w:pPr>
      <w:r>
        <w:rPr>
          <w:rFonts w:ascii="Times New Roman" w:hAnsi="Times New Roman" w:cs="Times New Roman" w:eastAsia="宋体"/>
          <w:b w:val="0"/>
          <w:sz w:val="24"/>
        </w:rPr>
        <w:t>• 所有项目使用同一套版式规范与统一模板，不得按项目另设字体、段落、表格或标题样式。</w:t>
      </w:r>
    </w:p>
    <w:p>
      <w:pPr>
        <w:spacing w:lineRule="exact" w:line="400" w:before="0" w:after="0"/>
        <w:ind w:left="480" w:hanging="240"/>
      </w:pPr>
      <w:r>
        <w:rPr>
          <w:rFonts w:ascii="Times New Roman" w:hAnsi="Times New Roman" w:cs="Times New Roman" w:eastAsia="宋体"/>
          <w:b w:val="0"/>
          <w:sz w:val="24"/>
        </w:rPr>
        <w:t>• 临时文件与编辑源稿应放在正式交付目录之外；提交前检查文件夹中是否存在旧版本、未引用素材及内部工作文件。</w:t>
      </w:r>
    </w:p>
    <w:p>
      <w:pPr>
        <w:spacing w:lineRule="exact" w:line="400" w:before="0" w:after="0"/>
        <w:ind w:left="480" w:hanging="240"/>
      </w:pPr>
      <w:r>
        <w:rPr>
          <w:rFonts w:ascii="Times New Roman" w:hAnsi="Times New Roman" w:cs="Times New Roman" w:eastAsia="宋体"/>
          <w:b w:val="0"/>
          <w:sz w:val="24"/>
        </w:rPr>
        <w:t>• Word只写适合交给编辑的内容，不写版本号、状态、内部说明、“样章”等字样。</w:t>
      </w:r>
    </w:p>
    <w:p>
      <w:pPr>
        <w:keepNext/>
        <w:spacing w:lineRule="exact" w:line="400" w:before="240" w:after="120"/>
      </w:pPr>
      <w:r>
        <w:rPr>
          <w:rFonts w:ascii="Times New Roman" w:hAnsi="Times New Roman" w:cs="Times New Roman" w:eastAsia="黑体"/>
          <w:b/>
          <w:sz w:val="28"/>
        </w:rPr>
        <w:t>七、写作禁忌</w:t>
      </w:r>
    </w:p>
    <w:p>
      <w:pPr>
        <w:spacing w:lineRule="exact" w:line="400" w:before="0" w:after="0"/>
        <w:ind w:left="480" w:hanging="240"/>
      </w:pPr>
      <w:r>
        <w:rPr>
          <w:rFonts w:ascii="Times New Roman" w:hAnsi="Times New Roman" w:cs="Times New Roman" w:eastAsia="宋体"/>
          <w:b w:val="0"/>
          <w:sz w:val="24"/>
        </w:rPr>
        <w:t>• 项目标题不写“AI”（导论除外）。</w:t>
      </w:r>
    </w:p>
    <w:p>
      <w:pPr>
        <w:spacing w:lineRule="exact" w:line="400" w:before="0" w:after="0"/>
        <w:ind w:left="480" w:hanging="240"/>
      </w:pPr>
      <w:r>
        <w:rPr>
          <w:rFonts w:ascii="Times New Roman" w:hAnsi="Times New Roman" w:cs="Times New Roman" w:eastAsia="宋体"/>
          <w:b w:val="0"/>
          <w:sz w:val="24"/>
        </w:rPr>
        <w:t>• 模块标题不带场景词。</w:t>
      </w:r>
    </w:p>
    <w:p>
      <w:pPr>
        <w:spacing w:lineRule="exact" w:line="400" w:before="0" w:after="0"/>
        <w:ind w:left="480" w:hanging="240"/>
      </w:pPr>
      <w:r>
        <w:rPr>
          <w:rFonts w:ascii="Times New Roman" w:hAnsi="Times New Roman" w:cs="Times New Roman" w:eastAsia="宋体"/>
          <w:b w:val="0"/>
          <w:sz w:val="24"/>
        </w:rPr>
        <w:t>• 不写内部说明、待确认字样、版本记录。</w:t>
      </w:r>
    </w:p>
    <w:p>
      <w:pPr>
        <w:spacing w:lineRule="exact" w:line="400" w:before="0" w:after="0"/>
        <w:ind w:left="480" w:hanging="240"/>
      </w:pPr>
      <w:r>
        <w:rPr>
          <w:rFonts w:ascii="Times New Roman" w:hAnsi="Times New Roman" w:cs="Times New Roman" w:eastAsia="宋体"/>
          <w:b w:val="0"/>
          <w:sz w:val="24"/>
        </w:rPr>
        <w:t>• 不编造数据、字数、出版时间、市场调研数据。</w:t>
      </w:r>
    </w:p>
    <w:p>
      <w:pPr>
        <w:spacing w:lineRule="exact" w:line="400" w:before="0" w:after="0"/>
        <w:ind w:left="480" w:hanging="240"/>
      </w:pPr>
      <w:r>
        <w:rPr>
          <w:rFonts w:ascii="Times New Roman" w:hAnsi="Times New Roman" w:cs="Times New Roman" w:eastAsia="宋体"/>
          <w:b w:val="0"/>
          <w:sz w:val="24"/>
        </w:rPr>
        <w:t>• 工具截图与操作步骤需标注版本与查询日期。</w:t>
      </w:r>
    </w:p>
    <w:p>
      <w:pPr>
        <w:spacing w:lineRule="exact" w:line="400" w:before="0" w:after="0"/>
        <w:ind w:left="480" w:hanging="240"/>
      </w:pPr>
      <w:r>
        <w:rPr>
          <w:rFonts w:ascii="Times New Roman" w:hAnsi="Times New Roman" w:cs="Times New Roman" w:eastAsia="宋体"/>
          <w:b w:val="0"/>
          <w:sz w:val="24"/>
        </w:rPr>
        <w:t>• 政策引用须依法核实，出版前复核。</w:t>
      </w:r>
    </w:p>
    <w:p>
      <w:pPr>
        <w:keepNext/>
        <w:spacing w:lineRule="exact" w:line="400" w:before="240" w:after="120"/>
      </w:pPr>
      <w:r>
        <w:rPr>
          <w:rFonts w:ascii="Times New Roman" w:hAnsi="Times New Roman" w:cs="Times New Roman" w:eastAsia="黑体"/>
          <w:b/>
          <w:sz w:val="28"/>
        </w:rPr>
        <w:t>八、人物设定（全书统一，文字与图片必须一致）</w:t>
      </w:r>
    </w:p>
    <w:p>
      <w:pPr>
        <w:spacing w:lineRule="exact" w:line="400" w:before="0" w:after="0"/>
        <w:ind w:left="480" w:hanging="240"/>
      </w:pPr>
      <w:r>
        <w:rPr>
          <w:rFonts w:ascii="Times New Roman" w:hAnsi="Times New Roman" w:cs="Times New Roman" w:eastAsia="宋体"/>
          <w:b w:val="0"/>
          <w:sz w:val="24"/>
        </w:rPr>
        <w:t>• 原则：每个有名有姓的人物，全书只有一种身份、一套外貌描述。图中出现的命名人物，外貌必须与本节描述相符。</w:t>
      </w:r>
    </w:p>
    <w:p>
      <w:pPr>
        <w:spacing w:lineRule="exact" w:line="400" w:before="0" w:after="0"/>
        <w:ind w:left="480" w:hanging="240"/>
      </w:pPr>
      <w:r>
        <w:rPr>
          <w:rFonts w:ascii="Times New Roman" w:hAnsi="Times New Roman" w:cs="Times New Roman" w:eastAsia="宋体"/>
          <w:b w:val="0"/>
          <w:sz w:val="24"/>
        </w:rPr>
        <w:t>• 未命名的路人（如“社员”“同学”）不得复用主角外貌，应另行描述，且不得与本节人物相同。</w:t>
      </w:r>
    </w:p>
    <w:p>
      <w:pPr>
        <w:spacing w:lineRule="exact" w:line="400" w:before="0" w:after="0"/>
        <w:ind w:left="480" w:hanging="240"/>
      </w:pPr>
      <w:r>
        <w:rPr>
          <w:rFonts w:ascii="Times New Roman" w:hAnsi="Times New Roman" w:cs="Times New Roman" w:eastAsia="宋体"/>
          <w:b w:val="0"/>
          <w:sz w:val="24"/>
        </w:rPr>
        <w:t>• 生成人物图时，提示词直接引用本节的外貌描述，不另起描述。图注须写明人物名字，与正文一致。</w:t>
      </w:r>
    </w:p>
    <w:p>
      <w:pPr>
        <w:spacing w:lineRule="exact" w:line="400" w:before="0" w:after="0"/>
        <w:ind w:left="480" w:hanging="240"/>
      </w:pPr>
      <w:r>
        <w:rPr>
          <w:rFonts w:ascii="Times New Roman" w:hAnsi="Times New Roman" w:cs="Times New Roman" w:eastAsia="宋体"/>
          <w:b w:val="0"/>
          <w:sz w:val="24"/>
        </w:rPr>
        <w:t>• 星空读书会：</w:t>
      </w:r>
    </w:p>
    <w:p>
      <w:pPr>
        <w:spacing w:lineRule="exact" w:line="400" w:before="0" w:after="0"/>
        <w:ind w:left="480" w:hanging="240"/>
      </w:pPr>
      <w:r>
        <w:rPr>
          <w:rFonts w:ascii="Times New Roman" w:hAnsi="Times New Roman" w:cs="Times New Roman" w:eastAsia="宋体"/>
          <w:b w:val="0"/>
          <w:sz w:val="24"/>
        </w:rPr>
        <w:t xml:space="preserve">  – 小何｜星空读书会财务干事，全书配图主角。外貌：年轻女大学生，肩长黑发、黄色发夹、圆框眼镜、浅蓝连帽衫、蓝色牛仔裤、白色运动鞋。</w:t>
      </w:r>
    </w:p>
    <w:p>
      <w:pPr>
        <w:spacing w:lineRule="exact" w:line="400" w:before="0" w:after="0"/>
        <w:ind w:left="480" w:hanging="240"/>
      </w:pPr>
      <w:r>
        <w:rPr>
          <w:rFonts w:ascii="Times New Roman" w:hAnsi="Times New Roman" w:cs="Times New Roman" w:eastAsia="宋体"/>
          <w:b w:val="0"/>
          <w:sz w:val="24"/>
        </w:rPr>
        <w:t xml:space="preserve">  – 李想想｜星空读书会社长（男），负责审批与决策。外貌：短平头，深灰色夹克，白色T恤，深色休闲裤。</w:t>
      </w:r>
    </w:p>
    <w:p>
      <w:pPr>
        <w:spacing w:lineRule="exact" w:line="400" w:before="0" w:after="0"/>
        <w:ind w:left="480" w:hanging="240"/>
      </w:pPr>
      <w:r>
        <w:rPr>
          <w:rFonts w:ascii="Times New Roman" w:hAnsi="Times New Roman" w:cs="Times New Roman" w:eastAsia="宋体"/>
          <w:b w:val="0"/>
          <w:sz w:val="24"/>
        </w:rPr>
        <w:t xml:space="preserve">  – 小韩｜星空读书会社员，学院图书馆勤工俭学学生（女），与财务工作无直接职责。外貌：齐肩栗色卷发，不戴眼镜，米色针织开衫，深蓝色长裤，红色帆布包，棕色帆布鞋。</w:t>
      </w:r>
    </w:p>
    <w:p>
      <w:pPr>
        <w:spacing w:lineRule="exact" w:line="400" w:before="0" w:after="0"/>
        <w:ind w:left="480" w:hanging="240"/>
      </w:pPr>
      <w:r>
        <w:rPr>
          <w:rFonts w:ascii="Times New Roman" w:hAnsi="Times New Roman" w:cs="Times New Roman" w:eastAsia="宋体"/>
          <w:b w:val="0"/>
          <w:sz w:val="24"/>
        </w:rPr>
        <w:t>• 青禾文具：</w:t>
      </w:r>
    </w:p>
    <w:p>
      <w:pPr>
        <w:spacing w:lineRule="exact" w:line="400" w:before="0" w:after="0"/>
        <w:ind w:left="480" w:hanging="240"/>
      </w:pPr>
      <w:r>
        <w:rPr>
          <w:rFonts w:ascii="Times New Roman" w:hAnsi="Times New Roman" w:cs="Times New Roman" w:eastAsia="宋体"/>
          <w:b w:val="0"/>
          <w:sz w:val="24"/>
        </w:rPr>
        <w:t xml:space="preserve">  – 陈静｜财务主管（女），负责审核与把关，是孙悦、小周的直接上级。外貌：齐耳深棕短发，方框眼镜，深灰色西装外套，白色衬衫。</w:t>
      </w:r>
    </w:p>
    <w:p>
      <w:pPr>
        <w:spacing w:lineRule="exact" w:line="400" w:before="0" w:after="0"/>
        <w:ind w:left="480" w:hanging="240"/>
      </w:pPr>
      <w:r>
        <w:rPr>
          <w:rFonts w:ascii="Times New Roman" w:hAnsi="Times New Roman" w:cs="Times New Roman" w:eastAsia="宋体"/>
          <w:b w:val="0"/>
          <w:sz w:val="24"/>
        </w:rPr>
        <w:t xml:space="preserve">  – 孙悦｜实习生（女），负责整理票据与初步核对，向陈静汇报。外貌：及肩马尾，米色毛衣，灰色长裤，手持笔记本。</w:t>
      </w:r>
    </w:p>
    <w:p>
      <w:pPr>
        <w:spacing w:lineRule="exact" w:line="400" w:before="0" w:after="0"/>
        <w:ind w:left="480" w:hanging="240"/>
      </w:pPr>
      <w:r>
        <w:rPr>
          <w:rFonts w:ascii="Times New Roman" w:hAnsi="Times New Roman" w:cs="Times New Roman" w:eastAsia="宋体"/>
          <w:b w:val="0"/>
          <w:sz w:val="24"/>
        </w:rPr>
        <w:t xml:space="preserve">  – 小周｜财务助理（女），负责记账与报销，向陈静汇报。外貌：齐耳黑色短发，浅绿色衬衫，黑色长裤，手持计算器。</w:t>
      </w:r>
    </w:p>
    <w:p>
      <w:pPr>
        <w:spacing w:lineRule="exact" w:line="400" w:before="0" w:after="0"/>
        <w:ind w:left="480" w:hanging="240"/>
      </w:pPr>
      <w:r>
        <w:rPr>
          <w:rFonts w:ascii="Times New Roman" w:hAnsi="Times New Roman" w:cs="Times New Roman" w:eastAsia="宋体"/>
          <w:b w:val="0"/>
          <w:sz w:val="24"/>
        </w:rPr>
        <w:t xml:space="preserve">  – 王涛｜销售部员工（男），项目7职业线工资条的当事人。外貌：平头，格子衬衫，深色长裤。</w:t>
      </w:r>
    </w:p>
    <w:p>
      <w:pPr>
        <w:spacing w:lineRule="exact" w:line="400" w:before="0" w:after="0"/>
        <w:ind w:left="480" w:hanging="240"/>
      </w:pPr>
      <w:r>
        <w:rPr>
          <w:rFonts w:ascii="Times New Roman" w:hAnsi="Times New Roman" w:cs="Times New Roman" w:eastAsia="宋体"/>
          <w:b w:val="0"/>
          <w:sz w:val="24"/>
        </w:rPr>
        <w:t xml:space="preserve">  – 周明｜青禾文具总经理（男），负责审批与决策，全书未配图，无外貌设定。  – 赵敏｜行政部员工，负责资产库房与台账的实物管理。外貌：中长直发，灰色针织衫，黑色长裙。</w:t>
      </w:r>
    </w:p>
    <w:p>
      <w:pPr>
        <w:spacing w:lineRule="exact" w:line="400" w:before="0" w:after="0"/>
        <w:ind w:left="480" w:hanging="240"/>
      </w:pPr>
      <w:r>
        <w:rPr>
          <w:rFonts w:ascii="Times New Roman" w:hAnsi="Times New Roman" w:cs="Times New Roman" w:eastAsia="宋体"/>
          <w:b w:val="0"/>
          <w:sz w:val="24"/>
        </w:rPr>
        <w:t>• 未命名人物（社员、同学、员工等）使用下列固定外貌模板；在用模板每个只对应一张图，且不得与第八节命名人物相似（不戴眼镜，不用小何的长黑发与连帽衫，不用小韩的卷发与开衫，不用孙悦的马尾，不用陈静的深棕短发）；标注“停用”的模板不对应现稿配图。</w:t>
      </w:r>
    </w:p>
    <w:p>
      <w:pPr>
        <w:spacing w:lineRule="exact" w:line="400" w:before="0" w:after="0"/>
        <w:ind w:left="480" w:hanging="240"/>
      </w:pPr>
      <w:r>
        <w:rPr>
          <w:rFonts w:ascii="Times New Roman" w:hAnsi="Times New Roman" w:cs="Times New Roman" w:eastAsia="宋体"/>
          <w:b w:val="0"/>
          <w:sz w:val="24"/>
        </w:rPr>
        <w:t xml:space="preserve">  – 模板A｜男，黑色中短发（自然蓬松），米色短袖衬衫，卡其色长裤，白色运动鞋。（图1-2）</w:t>
      </w:r>
    </w:p>
    <w:p>
      <w:pPr>
        <w:spacing w:lineRule="exact" w:line="400" w:before="0" w:after="0"/>
        <w:ind w:left="480" w:hanging="240"/>
      </w:pPr>
      <w:r>
        <w:rPr>
          <w:rFonts w:ascii="Times New Roman" w:hAnsi="Times New Roman" w:cs="Times New Roman" w:eastAsia="宋体"/>
          <w:b w:val="0"/>
          <w:sz w:val="24"/>
        </w:rPr>
        <w:t xml:space="preserve">  – 模板B｜女，齐肩直发，棕色，橙色针织背心，白色衬衫，浅色长裙。（图2-2）</w:t>
      </w:r>
    </w:p>
    <w:p>
      <w:pPr>
        <w:spacing w:lineRule="exact" w:line="400" w:before="0" w:after="0"/>
        <w:ind w:left="480" w:hanging="240"/>
      </w:pPr>
      <w:r>
        <w:rPr>
          <w:rFonts w:ascii="Times New Roman" w:hAnsi="Times New Roman" w:cs="Times New Roman" w:eastAsia="宋体"/>
          <w:b w:val="0"/>
          <w:sz w:val="24"/>
        </w:rPr>
        <w:t xml:space="preserve">  – 模板C｜男，侧分短发，深棕色，白色衬衫，深灰色针织马甲，深蓝色长裤。（图3-2）</w:t>
      </w:r>
    </w:p>
    <w:p>
      <w:pPr>
        <w:spacing w:lineRule="exact" w:line="400" w:before="0" w:after="0"/>
        <w:ind w:left="480" w:hanging="240"/>
      </w:pPr>
      <w:r>
        <w:rPr>
          <w:rFonts w:ascii="Times New Roman" w:hAnsi="Times New Roman" w:cs="Times New Roman" w:eastAsia="宋体"/>
          <w:b w:val="0"/>
          <w:sz w:val="24"/>
        </w:rPr>
        <w:t xml:space="preserve">  – 模板D｜女，丸子头，粉色卫衣，灰色九分裤。（图3-5）</w:t>
      </w:r>
    </w:p>
    <w:p>
      <w:pPr>
        <w:spacing w:lineRule="exact" w:line="400" w:before="0" w:after="0"/>
        <w:ind w:left="480" w:hanging="240"/>
      </w:pPr>
      <w:r>
        <w:rPr>
          <w:rFonts w:ascii="Times New Roman" w:hAnsi="Times New Roman" w:cs="Times New Roman" w:eastAsia="宋体"/>
          <w:b w:val="0"/>
          <w:sz w:val="24"/>
        </w:rPr>
        <w:t>– 模板E｜停用：原配图图4-3中的未命名男性已随图像修订移除，不再分配到其他现稿图片。</w:t>
      </w:r>
    </w:p>
    <w:p>
      <w:pPr>
        <w:spacing w:lineRule="exact" w:line="400" w:before="0" w:after="0"/>
        <w:ind w:left="480" w:hanging="240"/>
      </w:pPr>
      <w:r>
        <w:rPr>
          <w:rFonts w:ascii="Times New Roman" w:hAnsi="Times New Roman" w:cs="Times New Roman" w:eastAsia="宋体"/>
          <w:b w:val="0"/>
          <w:sz w:val="24"/>
        </w:rPr>
        <w:t>– 模板F｜停用：原配图图4-2不是人物场景；现图4-2改用小何场景图，不使用该模板。</w:t>
      </w:r>
    </w:p>
    <w:p>
      <w:pPr>
        <w:spacing w:lineRule="exact" w:line="400" w:before="0" w:after="0"/>
        <w:ind w:left="480" w:hanging="240"/>
      </w:pPr>
      <w:r>
        <w:rPr>
          <w:rFonts w:ascii="Times New Roman" w:hAnsi="Times New Roman" w:cs="Times New Roman" w:eastAsia="宋体"/>
          <w:b w:val="0"/>
          <w:sz w:val="24"/>
        </w:rPr>
        <w:t xml:space="preserve">  – 模板G｜男，短卷发，深绿色polo衫，卡其色长裤。（图5-2）</w:t>
      </w:r>
    </w:p>
    <w:p>
      <w:pPr>
        <w:spacing w:lineRule="exact" w:line="400" w:before="0" w:after="0"/>
        <w:ind w:left="480" w:hanging="240"/>
      </w:pPr>
      <w:r>
        <w:rPr>
          <w:rFonts w:ascii="Times New Roman" w:hAnsi="Times New Roman" w:cs="Times New Roman" w:eastAsia="宋体"/>
          <w:b w:val="0"/>
          <w:sz w:val="24"/>
        </w:rPr>
        <w:t xml:space="preserve">  – 模板H｜女，短发配浅色发带，黄色衬衫，黑色西裤。（图6-2）</w:t>
      </w:r>
    </w:p>
    <w:p>
      <w:pPr>
        <w:spacing w:lineRule="exact" w:line="400" w:before="0" w:after="0"/>
        <w:ind w:left="480" w:hanging="240"/>
      </w:pPr>
      <w:r>
        <w:rPr>
          <w:rFonts w:ascii="Times New Roman" w:hAnsi="Times New Roman" w:cs="Times New Roman" w:eastAsia="宋体"/>
          <w:b w:val="0"/>
          <w:sz w:val="24"/>
        </w:rPr>
        <w:t>• 人物图风格（全书统一，不分校园线与职业线）：线描扁平，柔和淡色，白底，无文字；同一画面只出现一个主要人物；与小何配图（图8-2 等）为同一风格。</w:t>
      </w:r>
    </w:p>
    <w:p>
      <w:pPr>
        <w:keepNext/>
        <w:spacing w:lineRule="exact" w:line="400" w:before="240" w:after="120"/>
      </w:pPr>
      <w:r>
        <w:rPr>
          <w:rFonts w:ascii="Times New Roman" w:hAnsi="Times New Roman" w:cs="Times New Roman" w:eastAsia="黑体"/>
          <w:b/>
          <w:sz w:val="28"/>
        </w:rPr>
        <w:t>九、机构与背景（全书统一）</w:t>
      </w:r>
    </w:p>
    <w:p>
      <w:pPr>
        <w:spacing w:lineRule="exact" w:line="400" w:before="0" w:after="0"/>
        <w:ind w:left="480" w:hanging="240"/>
      </w:pPr>
      <w:r>
        <w:rPr>
          <w:rFonts w:ascii="Times New Roman" w:hAnsi="Times New Roman" w:cs="Times New Roman" w:eastAsia="宋体"/>
          <w:b w:val="0"/>
          <w:sz w:val="24"/>
        </w:rPr>
        <w:t>• 星空读书会：某高校阅读类学生社团，挂靠学院。社长李想想，财务干事小何。主要活动包括读书分享会、校园文化节义卖和海报宣传。经费来源包括学院拨款、社员会费、校外赞助及活动收入；财务口径统一为收入按实际到账、支出按实际付款。</w:t>
      </w:r>
    </w:p>
    <w:p>
      <w:pPr>
        <w:spacing w:lineRule="exact" w:line="400" w:before="0" w:after="0"/>
        <w:ind w:left="480" w:hanging="240"/>
      </w:pPr>
      <w:r>
        <w:t>• 青禾文具：虚构小微企业，经营文具、礼品与办公用品。财务主管陈静，实习生孙悦，财务助理小周，销售部王涛，行政部赵敏，总经理周明。本书用于流水和预算对照的记录口径与星空一致（收入按实际到账、支出按实际付款）；涉及企业会计收入、成本与利润时，按权责发生制及适用准则核算，不把现金收付差额当作会计利润。</w:t>
      </w:r>
    </w:p>
    <w:p>
      <w:pPr>
        <w:spacing w:lineRule="exact" w:line="400" w:before="0" w:after="0"/>
        <w:ind w:left="480" w:hanging="240"/>
      </w:pPr>
      <w:r>
        <w:rPr>
          <w:rFonts w:ascii="Times New Roman" w:hAnsi="Times New Roman" w:cs="Times New Roman" w:eastAsia="宋体"/>
          <w:b w:val="0"/>
          <w:sz w:val="24"/>
        </w:rPr>
        <w:t>• 校园线与职业线成对出现：同一知识点，校园线使用星空的数据，职业线使用青禾的数据；两线数据互不混用。</w:t>
      </w:r>
    </w:p>
    <w:p>
      <w:pPr>
        <w:keepNext/>
        <w:spacing w:lineRule="exact" w:line="400" w:before="240" w:after="120"/>
      </w:pPr>
      <w:r>
        <w:rPr>
          <w:rFonts w:ascii="Times New Roman" w:hAnsi="Times New Roman" w:cs="Times New Roman" w:eastAsia="黑体"/>
          <w:b/>
          <w:sz w:val="28"/>
        </w:rPr>
        <w:t>十、核心数据（全书统一，修改任何数字须同步全部出处）</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Times New Roman" w:hAnsi="Times New Roman"/>
                <w:b/>
                <w:sz w:val="21"/>
              </w:rPr>
              <w:t>项目</w:t>
            </w:r>
          </w:p>
        </w:tc>
        <w:tc>
          <w:tcPr>
            <w:tcW w:type="dxa" w:w="2771"/>
          </w:tcPr>
          <w:p>
            <w:r/>
            <w:r>
              <w:rPr>
                <w:rFonts w:ascii="Times New Roman" w:hAnsi="Times New Roman"/>
                <w:b/>
                <w:sz w:val="21"/>
              </w:rPr>
              <w:t>指标</w:t>
            </w:r>
          </w:p>
        </w:tc>
        <w:tc>
          <w:tcPr>
            <w:tcW w:type="dxa" w:w="2771"/>
          </w:tcPr>
          <w:p>
            <w:r/>
            <w:r>
              <w:rPr>
                <w:rFonts w:ascii="Times New Roman" w:hAnsi="Times New Roman"/>
                <w:b/>
                <w:sz w:val="21"/>
              </w:rPr>
              <w:t>数值</w:t>
            </w:r>
          </w:p>
        </w:tc>
      </w:tr>
      <w:tr>
        <w:tc>
          <w:tcPr>
            <w:tcW w:type="dxa" w:w="2771"/>
          </w:tcPr>
          <w:p>
            <w:r/>
            <w:r>
              <w:rPr>
                <w:rFonts w:ascii="Times New Roman" w:hAnsi="Times New Roman"/>
                <w:sz w:val="21"/>
              </w:rPr>
              <w:t>项目2</w:t>
            </w:r>
          </w:p>
        </w:tc>
        <w:tc>
          <w:tcPr>
            <w:tcW w:type="dxa" w:w="2771"/>
          </w:tcPr>
          <w:p>
            <w:r/>
            <w:r>
              <w:rPr>
                <w:rFonts w:ascii="Times New Roman" w:hAnsi="Times New Roman"/>
                <w:sz w:val="21"/>
              </w:rPr>
              <w:t>星空学期学院拨款</w:t>
            </w:r>
          </w:p>
        </w:tc>
        <w:tc>
          <w:tcPr>
            <w:tcW w:type="dxa" w:w="2771"/>
          </w:tcPr>
          <w:p>
            <w:r/>
            <w:r>
              <w:rPr>
                <w:rFonts w:ascii="Times New Roman" w:hAnsi="Times New Roman"/>
                <w:sz w:val="21"/>
              </w:rPr>
              <w:t>1200元</w:t>
            </w:r>
          </w:p>
        </w:tc>
      </w:tr>
      <w:tr>
        <w:tc>
          <w:tcPr>
            <w:tcW w:type="dxa" w:w="2771"/>
          </w:tcPr>
          <w:p>
            <w:r/>
            <w:r>
              <w:rPr>
                <w:rFonts w:ascii="Times New Roman" w:hAnsi="Times New Roman"/>
                <w:sz w:val="21"/>
              </w:rPr>
              <w:t>项目2</w:t>
            </w:r>
          </w:p>
        </w:tc>
        <w:tc>
          <w:tcPr>
            <w:tcW w:type="dxa" w:w="2771"/>
          </w:tcPr>
          <w:p>
            <w:r/>
            <w:r>
              <w:rPr>
                <w:rFonts w:ascii="Times New Roman" w:hAnsi="Times New Roman"/>
                <w:sz w:val="21"/>
              </w:rPr>
              <w:t>青禾2026年9月超支</w:t>
            </w:r>
          </w:p>
        </w:tc>
        <w:tc>
          <w:tcPr>
            <w:tcW w:type="dxa" w:w="2771"/>
          </w:tcPr>
          <w:p>
            <w:r/>
            <w:r>
              <w:rPr>
                <w:rFonts w:ascii="Times New Roman" w:hAnsi="Times New Roman"/>
                <w:sz w:val="21"/>
              </w:rPr>
              <w:t>1390元</w:t>
            </w:r>
          </w:p>
        </w:tc>
      </w:tr>
      <w:tr>
        <w:tc>
          <w:tcPr>
            <w:tcW w:type="dxa" w:w="2771"/>
          </w:tcPr>
          <w:p>
            <w:r/>
            <w:r>
              <w:rPr>
                <w:rFonts w:ascii="Times New Roman" w:hAnsi="Times New Roman"/>
                <w:sz w:val="21"/>
              </w:rPr>
              <w:t>项目3</w:t>
            </w:r>
          </w:p>
        </w:tc>
        <w:tc>
          <w:tcPr>
            <w:tcW w:type="dxa" w:w="2771"/>
          </w:tcPr>
          <w:p>
            <w:r/>
            <w:r>
              <w:rPr>
                <w:rFonts w:ascii="Times New Roman" w:hAnsi="Times New Roman"/>
                <w:sz w:val="21"/>
              </w:rPr>
              <w:t>摄影设备现金价；分期方案</w:t>
            </w:r>
          </w:p>
        </w:tc>
        <w:tc>
          <w:tcPr>
            <w:tcW w:type="dxa" w:w="2771"/>
          </w:tcPr>
          <w:p>
            <w:r/>
            <w:r>
              <w:rPr>
                <w:rFonts w:ascii="Times New Roman" w:hAnsi="Times New Roman"/>
                <w:sz w:val="21"/>
              </w:rPr>
              <w:t>6000元；12期，每期550元</w:t>
            </w:r>
          </w:p>
        </w:tc>
      </w:tr>
      <w:tr>
        <w:tc>
          <w:tcPr>
            <w:tcW w:type="dxa" w:w="2771"/>
          </w:tcPr>
          <w:p>
            <w:r/>
            <w:r>
              <w:rPr>
                <w:rFonts w:ascii="Times New Roman" w:hAnsi="Times New Roman"/>
                <w:sz w:val="21"/>
              </w:rPr>
              <w:t>项目4</w:t>
            </w:r>
          </w:p>
        </w:tc>
        <w:tc>
          <w:tcPr>
            <w:tcW w:type="dxa" w:w="2771"/>
          </w:tcPr>
          <w:p>
            <w:r/>
            <w:r>
              <w:rPr>
                <w:rFonts w:ascii="Times New Roman" w:hAnsi="Times New Roman"/>
                <w:sz w:val="21"/>
              </w:rPr>
              <w:t>综合练习票据价税合计；税率；不含税；税额</w:t>
            </w:r>
          </w:p>
        </w:tc>
        <w:tc>
          <w:tcPr>
            <w:tcW w:type="dxa" w:w="2771"/>
          </w:tcPr>
          <w:p>
            <w:r/>
            <w:r>
              <w:rPr>
                <w:rFonts w:ascii="Times New Roman" w:hAnsi="Times New Roman"/>
                <w:sz w:val="21"/>
              </w:rPr>
              <w:t>255.85元；13%；226.42元；29.43元</w:t>
            </w:r>
          </w:p>
        </w:tc>
      </w:tr>
      <w:tr>
        <w:tc>
          <w:tcPr>
            <w:tcW w:type="dxa" w:w="2771"/>
          </w:tcPr>
          <w:p>
            <w:r/>
            <w:r>
              <w:rPr>
                <w:rFonts w:ascii="Times New Roman" w:hAnsi="Times New Roman"/>
                <w:sz w:val="21"/>
              </w:rPr>
              <w:t>项目4</w:t>
            </w:r>
          </w:p>
        </w:tc>
        <w:tc>
          <w:tcPr>
            <w:tcW w:type="dxa" w:w="2771"/>
          </w:tcPr>
          <w:p>
            <w:r/>
            <w:r>
              <w:rPr>
                <w:rFonts w:ascii="Times New Roman" w:hAnsi="Times New Roman"/>
                <w:sz w:val="21"/>
              </w:rPr>
              <w:t>综合练习票据合计（汇总）</w:t>
            </w:r>
          </w:p>
        </w:tc>
        <w:tc>
          <w:tcPr>
            <w:tcW w:type="dxa" w:w="2771"/>
          </w:tcPr>
          <w:p>
            <w:r/>
            <w:r>
              <w:rPr>
                <w:rFonts w:ascii="Times New Roman" w:hAnsi="Times New Roman"/>
                <w:sz w:val="21"/>
              </w:rPr>
              <w:t>1748.35元</w:t>
            </w:r>
          </w:p>
        </w:tc>
      </w:tr>
      <w:tr>
        <w:tc>
          <w:tcPr>
            <w:tcW w:type="dxa" w:w="2771"/>
          </w:tcPr>
          <w:p>
            <w:r/>
            <w:r>
              <w:rPr>
                <w:rFonts w:ascii="Times New Roman" w:hAnsi="Times New Roman"/>
                <w:sz w:val="21"/>
              </w:rPr>
              <w:t>项目5</w:t>
            </w:r>
          </w:p>
        </w:tc>
        <w:tc>
          <w:tcPr>
            <w:tcW w:type="dxa" w:w="2771"/>
          </w:tcPr>
          <w:p>
            <w:r/>
            <w:r>
              <w:rPr>
                <w:rFonts w:ascii="Times New Roman" w:hAnsi="Times New Roman"/>
                <w:sz w:val="21"/>
              </w:rPr>
              <w:t>星空收入、销货成本、费用、利润</w:t>
            </w:r>
          </w:p>
        </w:tc>
        <w:tc>
          <w:tcPr>
            <w:tcW w:type="dxa" w:w="2771"/>
          </w:tcPr>
          <w:p>
            <w:r/>
            <w:r>
              <w:rPr>
                <w:rFonts w:ascii="Times New Roman" w:hAnsi="Times New Roman"/>
                <w:sz w:val="21"/>
              </w:rPr>
              <w:t>470元、193元、70元、207元</w:t>
            </w:r>
          </w:p>
        </w:tc>
      </w:tr>
      <w:tr>
        <w:tc>
          <w:tcPr>
            <w:tcW w:type="dxa" w:w="2771"/>
          </w:tcPr>
          <w:p>
            <w:r/>
            <w:r>
              <w:rPr>
                <w:rFonts w:ascii="Times New Roman" w:hAnsi="Times New Roman"/>
                <w:sz w:val="21"/>
              </w:rPr>
              <w:t>项目5</w:t>
            </w:r>
          </w:p>
        </w:tc>
        <w:tc>
          <w:tcPr>
            <w:tcW w:type="dxa" w:w="2771"/>
          </w:tcPr>
          <w:p>
            <w:r/>
            <w:r>
              <w:rPr>
                <w:rFonts w:ascii="Times New Roman" w:hAnsi="Times New Roman"/>
                <w:sz w:val="21"/>
              </w:rPr>
              <w:t>青禾收入、销货成本、费用、利润</w:t>
            </w:r>
          </w:p>
        </w:tc>
        <w:tc>
          <w:tcPr>
            <w:tcW w:type="dxa" w:w="2771"/>
          </w:tcPr>
          <w:p>
            <w:r/>
            <w:r>
              <w:rPr>
                <w:rFonts w:ascii="Times New Roman" w:hAnsi="Times New Roman"/>
                <w:sz w:val="21"/>
              </w:rPr>
              <w:t>6050元、2940元、200元、2910元</w:t>
            </w:r>
          </w:p>
        </w:tc>
      </w:tr>
      <w:tr>
        <w:tc>
          <w:tcPr>
            <w:tcW w:type="dxa" w:w="2771"/>
          </w:tcPr>
          <w:p>
            <w:r/>
            <w:r>
              <w:rPr>
                <w:rFonts w:ascii="Times New Roman" w:hAnsi="Times New Roman"/>
                <w:sz w:val="21"/>
              </w:rPr>
              <w:t>项目5</w:t>
            </w:r>
          </w:p>
        </w:tc>
        <w:tc>
          <w:tcPr>
            <w:tcW w:type="dxa" w:w="2771"/>
          </w:tcPr>
          <w:p>
            <w:r/>
            <w:r>
              <w:rPr>
                <w:rFonts w:ascii="Times New Roman" w:hAnsi="Times New Roman"/>
                <w:sz w:val="21"/>
              </w:rPr>
              <w:t>星空保本销售量：书签、柠檬水、笔记本</w:t>
            </w:r>
          </w:p>
        </w:tc>
        <w:tc>
          <w:tcPr>
            <w:tcW w:type="dxa" w:w="2771"/>
          </w:tcPr>
          <w:p>
            <w:r/>
            <w:r>
              <w:rPr>
                <w:rFonts w:ascii="Times New Roman" w:hAnsi="Times New Roman"/>
                <w:sz w:val="21"/>
              </w:rPr>
              <w:t>140个、88杯、172本</w:t>
            </w:r>
          </w:p>
        </w:tc>
      </w:tr>
      <w:tr>
        <w:tc>
          <w:tcPr>
            <w:tcW w:type="dxa" w:w="2771"/>
          </w:tcPr>
          <w:p>
            <w:r/>
            <w:r>
              <w:rPr>
                <w:rFonts w:ascii="Times New Roman" w:hAnsi="Times New Roman"/>
                <w:sz w:val="21"/>
              </w:rPr>
              <w:t>项目6</w:t>
            </w:r>
          </w:p>
        </w:tc>
        <w:tc>
          <w:tcPr>
            <w:tcW w:type="dxa" w:w="2771"/>
          </w:tcPr>
          <w:p>
            <w:r/>
            <w:r>
              <w:rPr>
                <w:rFonts w:ascii="Times New Roman" w:hAnsi="Times New Roman"/>
                <w:sz w:val="21"/>
              </w:rPr>
              <w:t>星空笔记本：原值、残值、年限、年折旧</w:t>
            </w:r>
          </w:p>
        </w:tc>
        <w:tc>
          <w:tcPr>
            <w:tcW w:type="dxa" w:w="2771"/>
          </w:tcPr>
          <w:p>
            <w:r/>
            <w:r>
              <w:rPr>
                <w:rFonts w:ascii="Times New Roman" w:hAnsi="Times New Roman"/>
                <w:sz w:val="21"/>
              </w:rPr>
              <w:t>4800元、240元、4年、1140元</w:t>
            </w:r>
          </w:p>
        </w:tc>
      </w:tr>
      <w:tr>
        <w:tc>
          <w:tcPr>
            <w:tcW w:type="dxa" w:w="2771"/>
          </w:tcPr>
          <w:p>
            <w:r/>
            <w:r>
              <w:rPr>
                <w:rFonts w:ascii="Times New Roman" w:hAnsi="Times New Roman"/>
                <w:sz w:val="21"/>
              </w:rPr>
              <w:t>项目6</w:t>
            </w:r>
          </w:p>
        </w:tc>
        <w:tc>
          <w:tcPr>
            <w:tcW w:type="dxa" w:w="2771"/>
          </w:tcPr>
          <w:p>
            <w:r/>
            <w:r>
              <w:rPr>
                <w:rFonts w:ascii="Times New Roman" w:hAnsi="Times New Roman"/>
                <w:sz w:val="21"/>
              </w:rPr>
              <w:t>青禾电脑6台：原值、残值、年限、年折旧</w:t>
            </w:r>
          </w:p>
        </w:tc>
        <w:tc>
          <w:tcPr>
            <w:tcW w:type="dxa" w:w="2771"/>
          </w:tcPr>
          <w:p>
            <w:r/>
            <w:r>
              <w:rPr>
                <w:rFonts w:ascii="Times New Roman" w:hAnsi="Times New Roman"/>
                <w:sz w:val="21"/>
              </w:rPr>
              <w:t>30000元、1200元、3年、9600元</w:t>
            </w:r>
          </w:p>
        </w:tc>
      </w:tr>
      <w:tr>
        <w:tc>
          <w:tcPr>
            <w:tcW w:type="dxa" w:w="2771"/>
          </w:tcPr>
          <w:p>
            <w:r/>
            <w:r>
              <w:rPr>
                <w:rFonts w:ascii="Times New Roman" w:hAnsi="Times New Roman"/>
                <w:sz w:val="21"/>
              </w:rPr>
              <w:t>项目7</w:t>
            </w:r>
          </w:p>
        </w:tc>
        <w:tc>
          <w:tcPr>
            <w:tcW w:type="dxa" w:w="2771"/>
          </w:tcPr>
          <w:p>
            <w:r/>
            <w:r>
              <w:rPr>
                <w:rFonts w:ascii="Times New Roman" w:hAnsi="Times New Roman"/>
                <w:sz w:val="21"/>
              </w:rPr>
              <w:t>星空勤工收入：时薪×时数</w:t>
            </w:r>
          </w:p>
        </w:tc>
        <w:tc>
          <w:tcPr>
            <w:tcW w:type="dxa" w:w="2771"/>
          </w:tcPr>
          <w:p>
            <w:r/>
            <w:r>
              <w:rPr>
                <w:rFonts w:ascii="Times New Roman" w:hAnsi="Times New Roman"/>
                <w:sz w:val="21"/>
              </w:rPr>
              <w:t>12元×80小时＝960元（免税）</w:t>
            </w:r>
          </w:p>
        </w:tc>
      </w:tr>
      <w:tr>
        <w:tc>
          <w:tcPr>
            <w:tcW w:type="dxa" w:w="2771"/>
          </w:tcPr>
          <w:p>
            <w:r/>
            <w:r>
              <w:rPr>
                <w:rFonts w:ascii="Times New Roman" w:hAnsi="Times New Roman"/>
                <w:sz w:val="21"/>
              </w:rPr>
              <w:t>项目7</w:t>
            </w:r>
          </w:p>
        </w:tc>
        <w:tc>
          <w:tcPr>
            <w:tcW w:type="dxa" w:w="2771"/>
          </w:tcPr>
          <w:p>
            <w:r/>
            <w:r>
              <w:rPr>
                <w:rFonts w:ascii="Times New Roman" w:hAnsi="Times New Roman"/>
                <w:sz w:val="21"/>
              </w:rPr>
              <w:t>青禾王涛1月：应发、社保公积金、专项附加扣除、应纳税所得额、税率、税额、实发</w:t>
            </w:r>
          </w:p>
        </w:tc>
        <w:tc>
          <w:tcPr>
            <w:tcW w:type="dxa" w:w="2771"/>
          </w:tcPr>
          <w:p>
            <w:r/>
            <w:r>
              <w:rPr>
                <w:rFonts w:ascii="Times New Roman" w:hAnsi="Times New Roman"/>
                <w:sz w:val="21"/>
              </w:rPr>
              <w:t>8400元、1050元、1000元、1350元、3%、40.5元、7309.5元</w:t>
            </w:r>
          </w:p>
        </w:tc>
      </w:tr>
      <w:tr>
        <w:tc>
          <w:tcPr>
            <w:tcW w:type="dxa" w:w="2771"/>
          </w:tcPr>
          <w:p>
            <w:r/>
            <w:r>
              <w:rPr>
                <w:rFonts w:ascii="Times New Roman" w:hAnsi="Times New Roman"/>
                <w:sz w:val="21"/>
              </w:rPr>
              <w:t>项目8</w:t>
            </w:r>
          </w:p>
        </w:tc>
        <w:tc>
          <w:tcPr>
            <w:tcW w:type="dxa" w:w="2771"/>
          </w:tcPr>
          <w:p>
            <w:r>
              <w:t>星空9月流水样例收入、支出</w:t>
            </w:r>
          </w:p>
        </w:tc>
        <w:tc>
          <w:tcPr>
            <w:tcW w:type="dxa" w:w="2771"/>
          </w:tcPr>
          <w:p>
            <w:r>
              <w:t>2040元、599.5元（9月支出不等于学期支出）</w:t>
            </w:r>
          </w:p>
        </w:tc>
      </w:tr>
      <w:tr>
        <w:tc>
          <w:tcPr>
            <w:tcW w:type="dxa" w:w="2771"/>
          </w:tcPr>
          <w:p>
            <w:r/>
            <w:r>
              <w:rPr>
                <w:rFonts w:ascii="Times New Roman" w:hAnsi="Times New Roman"/>
                <w:sz w:val="21"/>
              </w:rPr>
              <w:t>项目8</w:t>
            </w:r>
          </w:p>
        </w:tc>
        <w:tc>
          <w:tcPr>
            <w:tcW w:type="dxa" w:w="2771"/>
          </w:tcPr>
          <w:p>
            <w:r/>
            <w:r>
              <w:rPr>
                <w:rFonts w:ascii="Times New Roman" w:hAnsi="Times New Roman"/>
                <w:sz w:val="21"/>
              </w:rPr>
              <w:t>青禾10月清洗后收入、支出</w:t>
            </w:r>
          </w:p>
        </w:tc>
        <w:tc>
          <w:tcPr>
            <w:tcW w:type="dxa" w:w="2771"/>
          </w:tcPr>
          <w:p>
            <w:r/>
            <w:r>
              <w:rPr>
                <w:rFonts w:ascii="Times New Roman" w:hAnsi="Times New Roman"/>
                <w:sz w:val="21"/>
              </w:rPr>
              <w:t>11750元、7200元</w:t>
            </w:r>
          </w:p>
        </w:tc>
      </w:tr>
      <w:tr>
        <w:tc>
          <w:tcPr>
            <w:tcW w:type="dxa" w:w="2771"/>
          </w:tcPr>
          <w:p>
            <w:r/>
            <w:r>
              <w:rPr>
                <w:rFonts w:ascii="Times New Roman" w:hAnsi="Times New Roman"/>
                <w:sz w:val="21"/>
              </w:rPr>
              <w:t>项目9</w:t>
            </w:r>
          </w:p>
        </w:tc>
        <w:tc>
          <w:tcPr>
            <w:tcW w:type="dxa" w:w="2771"/>
          </w:tcPr>
          <w:p>
            <w:r/>
            <w:r>
              <w:rPr>
                <w:rFonts w:ascii="Times New Roman" w:hAnsi="Times New Roman"/>
                <w:sz w:val="21"/>
              </w:rPr>
              <w:t>星空学期收入：预算、实际</w:t>
            </w:r>
          </w:p>
        </w:tc>
        <w:tc>
          <w:tcPr>
            <w:tcW w:type="dxa" w:w="2771"/>
          </w:tcPr>
          <w:p>
            <w:r/>
            <w:r>
              <w:rPr>
                <w:rFonts w:ascii="Times New Roman" w:hAnsi="Times New Roman"/>
                <w:sz w:val="21"/>
              </w:rPr>
              <w:t>2100元、2040元</w:t>
            </w:r>
          </w:p>
        </w:tc>
      </w:tr>
      <w:tr>
        <w:tc>
          <w:tcPr>
            <w:tcW w:type="dxa" w:w="2771"/>
          </w:tcPr>
          <w:p>
            <w:r/>
            <w:r>
              <w:rPr>
                <w:rFonts w:ascii="Times New Roman" w:hAnsi="Times New Roman"/>
                <w:sz w:val="21"/>
              </w:rPr>
              <w:t>项目9</w:t>
            </w:r>
          </w:p>
        </w:tc>
        <w:tc>
          <w:tcPr>
            <w:tcW w:type="dxa" w:w="2771"/>
          </w:tcPr>
          <w:p>
            <w:r/>
            <w:r>
              <w:rPr>
                <w:rFonts w:ascii="Times New Roman" w:hAnsi="Times New Roman"/>
                <w:sz w:val="21"/>
              </w:rPr>
              <w:t>星空学期支出：预算、实际；结余；结余率</w:t>
            </w:r>
          </w:p>
        </w:tc>
        <w:tc>
          <w:tcPr>
            <w:tcW w:type="dxa" w:w="2771"/>
          </w:tcPr>
          <w:p>
            <w:r/>
            <w:r>
              <w:rPr>
                <w:rFonts w:ascii="Times New Roman" w:hAnsi="Times New Roman"/>
                <w:sz w:val="21"/>
              </w:rPr>
              <w:t>1840元、1788元；252元；12.4%</w:t>
            </w:r>
          </w:p>
        </w:tc>
      </w:tr>
      <w:tr>
        <w:tc>
          <w:tcPr>
            <w:tcW w:type="dxa" w:w="2771"/>
          </w:tcPr>
          <w:p>
            <w:r/>
            <w:r>
              <w:rPr>
                <w:rFonts w:ascii="Times New Roman" w:hAnsi="Times New Roman"/>
                <w:sz w:val="21"/>
              </w:rPr>
              <w:t>项目9</w:t>
            </w:r>
          </w:p>
        </w:tc>
        <w:tc>
          <w:tcPr>
            <w:tcW w:type="dxa" w:w="2771"/>
          </w:tcPr>
          <w:p>
            <w:r/>
            <w:r>
              <w:rPr>
                <w:rFonts w:ascii="Times New Roman" w:hAnsi="Times New Roman"/>
                <w:sz w:val="21"/>
              </w:rPr>
              <w:t>青禾10月结余；结余率</w:t>
            </w:r>
          </w:p>
        </w:tc>
        <w:tc>
          <w:tcPr>
            <w:tcW w:type="dxa" w:w="2771"/>
          </w:tcPr>
          <w:p>
            <w:r/>
            <w:r>
              <w:rPr>
                <w:rFonts w:ascii="Times New Roman" w:hAnsi="Times New Roman"/>
                <w:sz w:val="21"/>
              </w:rPr>
              <w:t>4550元；38.7%</w:t>
            </w:r>
          </w:p>
        </w:tc>
      </w:tr>
      <w:tr>
        <w:tc>
          <w:tcPr>
            <w:tcW w:type="dxa" w:w="2771"/>
          </w:tcPr>
          <w:p>
            <w:r/>
            <w:r>
              <w:rPr>
                <w:rFonts w:ascii="Times New Roman" w:hAnsi="Times New Roman"/>
                <w:sz w:val="21"/>
              </w:rPr>
              <w:t>项目10</w:t>
            </w:r>
          </w:p>
        </w:tc>
        <w:tc>
          <w:tcPr>
            <w:tcW w:type="dxa" w:w="2771"/>
          </w:tcPr>
          <w:p>
            <w:r/>
            <w:r>
              <w:rPr>
                <w:rFonts w:ascii="Times New Roman" w:hAnsi="Times New Roman"/>
                <w:sz w:val="21"/>
              </w:rPr>
              <w:t>星空支出；青禾10月支出、收入、结余</w:t>
            </w:r>
          </w:p>
        </w:tc>
        <w:tc>
          <w:tcPr>
            <w:tcW w:type="dxa" w:w="2771"/>
          </w:tcPr>
          <w:p>
            <w:r/>
            <w:r>
              <w:rPr>
                <w:rFonts w:ascii="Times New Roman" w:hAnsi="Times New Roman"/>
                <w:sz w:val="21"/>
              </w:rPr>
              <w:t>1788元；7200元、11750元、4550元</w:t>
            </w:r>
          </w:p>
        </w:tc>
      </w:tr>
    </w:tbl>
    <w:p>
      <w:r>
        <w:t>• 星空读书会：项目8表8-1的2026年9月流水收入为2040元、9月支出为599.50元；该支出仅为9月单月数据。学期收支总额以项目9表9-1为准：收入2040元、支出1788元、结余252元；预算结余260元，实际结余较预算少8元。</w:t>
      </w:r>
    </w:p>
    <w:p>
      <w:r>
        <w:t>• 青禾文具：项目8—10、14的11750元按实际到账统计，包含一笔尚未履约的预收款；7200元为实际付款，4550元为现金收付差额，不等同于权责发生制下的会计收入或利润。项目14修正预收款会计处理，不改变项目9表9-3的现金收款与结余。</w:t>
      </w:r>
    </w:p>
    <w:p>
      <w:pPr>
        <w:keepNext/>
        <w:spacing w:lineRule="exact" w:line="400" w:before="240" w:after="120"/>
      </w:pPr>
      <w:r>
        <w:rPr>
          <w:rFonts w:ascii="Times New Roman" w:hAnsi="Times New Roman" w:cs="Times New Roman" w:eastAsia="黑体"/>
          <w:b/>
          <w:sz w:val="28"/>
        </w:rPr>
        <w:t>十一、现行稿件版本（2026-10-31）</w:t>
      </w:r>
    </w:p>
    <w:p>
      <w:pPr>
        <w:spacing w:lineRule="exact" w:line="400" w:before="0" w:after="0"/>
        <w:ind w:left="480" w:hanging="240"/>
      </w:pPr>
      <w:r>
        <w:t>• 现行稿件版本（2026-10-31）：项目1 v19、项目2 v18、项目3 v13（基于仓库v10修订，接续v11）、项目4 v24、项目5 v17、项目6 v16、项目7 v14、项目8 v17、项目9 v12、项目10 v12、项目11 v10、项目12 v8、项目13 v12、项目14 v14；本规则为v54，目录为v7；图像引用清单为v56。</w:t>
      </w:r>
    </w:p>
    <w:p>
      <w:pPr>
        <w:spacing w:lineRule="exact" w:line="400" w:before="0" w:after="0"/>
        <w:ind w:left="480" w:hanging="240"/>
      </w:pPr>
      <w:r>
        <w:rPr>
          <w:rFonts w:ascii="Times New Roman" w:hAnsi="Times New Roman" w:cs="Times New Roman" w:eastAsia="宋体"/>
          <w:b w:val="0"/>
          <w:sz w:val="24"/>
        </w:rPr>
        <w:t>• 任务标题允许采用成果导向表述；【拓展】统一集中在各项目末尾。</w:t>
      </w:r>
    </w:p>
    <w:p>
      <w:pPr>
        <w:keepNext/>
        <w:spacing w:lineRule="exact" w:line="400" w:before="240" w:after="120"/>
      </w:pPr>
      <w:r>
        <w:rPr>
          <w:rFonts w:ascii="Times New Roman" w:hAnsi="Times New Roman" w:cs="Times New Roman" w:eastAsia="黑体"/>
          <w:b/>
          <w:sz w:val="28"/>
        </w:rPr>
        <w:t>十二、出版前质量检查</w:t>
      </w:r>
    </w:p>
    <w:p>
      <w:pPr>
        <w:spacing w:lineRule="exact" w:line="400" w:before="0" w:after="0"/>
        <w:ind w:left="480" w:hanging="240"/>
      </w:pPr>
      <w:r>
        <w:rPr>
          <w:rFonts w:ascii="Times New Roman" w:hAnsi="Times New Roman" w:cs="Times New Roman" w:eastAsia="宋体"/>
          <w:b w:val="0"/>
          <w:sz w:val="24"/>
        </w:rPr>
        <w:t>• 在Word中抽查分页、表格跨页、图片位置、图注相邻关系及实际字体替换效果，并逐项目检查人物姓名、角色、校园/职业线数据与引用来源。</w:t>
      </w:r>
    </w:p>
    <w:p>
      <w:pPr>
        <w:spacing w:lineRule="exact" w:line="400" w:before="0" w:after="0"/>
        <w:ind w:left="480" w:hanging="240"/>
      </w:pPr>
      <w:r>
        <w:rPr>
          <w:rFonts w:ascii="Times New Roman" w:hAnsi="Times New Roman" w:cs="Times New Roman" w:eastAsia="宋体"/>
          <w:b w:val="0"/>
          <w:sz w:val="24"/>
        </w:rPr>
        <w:t>• 复核政策与法规的现行有效性；所有法规正文只保留经官方原文核实的内容。</w:t>
      </w:r>
    </w:p>
    <w:p>
      <w:pPr>
        <w:spacing w:lineRule="exact" w:line="400" w:before="0" w:after="0"/>
        <w:ind w:left="480" w:hanging="240"/>
      </w:pPr>
      <w:r>
        <w:rPr>
          <w:rFonts w:ascii="Times New Roman" w:hAnsi="Times New Roman" w:cs="Times New Roman" w:eastAsia="宋体"/>
          <w:b w:val="0"/>
          <w:sz w:val="24"/>
        </w:rPr>
        <w:t>• 每项目综合练习须提供完整示例数据，不要求学生自行收集或自拟数据；全书正文不得出现“待确认”等编辑过程用语。</w:t>
      </w:r>
    </w:p>
    <w:p>
      <w:r>
        <w:t>十三、各项目各任务涉及的法律法规与会计准则（编者备查）</w:t>
      </w:r>
    </w:p>
    <w:p>
      <w:r>
        <w:t>本矩阵、法规与准则名称及官方来源仅供编者内部核验，不随正式教材刊印。标注“未发现特定法规引用”的任务仍须在修订时复核事实与政策时效；使用真实个人信息或受保护数据时，按任务13.3的一般数据保护操作要求审校。法规内容如需进入教材，须经出版方确认并在出版前复核；本书正式稿不列具体法条或动态法规索引。项目3矩阵已按基于仓库v10修订并接续形成的v13稿复核，定稿前仍须复核适用事实与法规时效。</w:t>
      </w:r>
    </w:p>
    <w:tbl>
      <w:tblPr>
        <w:tblStyle w:val="TableGrid"/>
        <w:tblW w:type="auto" w:w="0"/>
        <w:tblLook w:firstColumn="1" w:firstRow="1" w:lastColumn="0" w:lastRow="0" w:noHBand="0" w:noVBand="1" w:val="04A0"/>
      </w:tblPr>
      <w:tblGrid>
        <w:gridCol w:w="2771"/>
        <w:gridCol w:w="2771"/>
        <w:gridCol w:w="2771"/>
      </w:tblGrid>
      <w:tr>
        <w:trPr>
          <w:tblHeader w:val="true"/>
        </w:trPr>
        <w:tc>
          <w:tcPr>
            <w:tcW w:type="dxa" w:w="2771"/>
          </w:tcPr>
          <w:p>
            <w:pPr>
              <w:spacing w:after="0" w:before="0"/>
            </w:pPr>
            <w:r>
              <w:rPr>
                <w:rFonts w:ascii="宋体" w:hAnsi="宋体" w:eastAsia="宋体"/>
                <w:sz w:val="17"/>
              </w:rPr>
              <w:t>项目/任务</w:t>
            </w:r>
          </w:p>
        </w:tc>
        <w:tc>
          <w:tcPr>
            <w:tcW w:type="dxa" w:w="2771"/>
          </w:tcPr>
          <w:p>
            <w:pPr>
              <w:spacing w:after="0" w:before="0"/>
            </w:pPr>
            <w:r>
              <w:rPr>
                <w:rFonts w:ascii="宋体" w:hAnsi="宋体" w:eastAsia="宋体"/>
                <w:sz w:val="17"/>
              </w:rPr>
              <w:t>涉及法规、准则及条文</w:t>
            </w:r>
          </w:p>
        </w:tc>
        <w:tc>
          <w:tcPr>
            <w:tcW w:type="dxa" w:w="2771"/>
          </w:tcPr>
          <w:p>
            <w:pPr>
              <w:spacing w:after="0" w:before="0"/>
            </w:pPr>
            <w:r>
              <w:rPr>
                <w:rFonts w:ascii="宋体" w:hAnsi="宋体" w:eastAsia="宋体"/>
                <w:sz w:val="17"/>
              </w:rPr>
              <w:t>适用内容、引用状态与复核提示</w:t>
            </w:r>
          </w:p>
        </w:tc>
      </w:tr>
      <w:tr>
        <w:trPr/>
        <w:tc>
          <w:tcPr>
            <w:tcW w:type="dxa" w:w="2771"/>
          </w:tcPr>
          <w:p>
            <w:pPr>
              <w:spacing w:after="0" w:before="0"/>
            </w:pPr>
            <w:r>
              <w:rPr>
                <w:rFonts w:ascii="宋体" w:hAnsi="宋体" w:eastAsia="宋体"/>
                <w:sz w:val="17"/>
              </w:rPr>
              <w:t>项目1 任务1.1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生活化收支问题定义；若后续改用真实个人数据，按全书数据保护总则处理。</w:t>
            </w:r>
          </w:p>
        </w:tc>
      </w:tr>
      <w:tr>
        <w:trPr/>
        <w:tc>
          <w:tcPr>
            <w:tcW w:type="dxa" w:w="2771"/>
          </w:tcPr>
          <w:p>
            <w:pPr>
              <w:spacing w:after="0" w:before="0"/>
            </w:pPr>
            <w:r>
              <w:rPr>
                <w:rFonts w:ascii="宋体" w:hAnsi="宋体" w:eastAsia="宋体"/>
                <w:sz w:val="17"/>
              </w:rPr>
              <w:t>项目1 任务1.2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提示词设计与案例沟通，不作为法规解释。</w:t>
            </w:r>
          </w:p>
        </w:tc>
      </w:tr>
      <w:tr>
        <w:trPr/>
        <w:tc>
          <w:tcPr>
            <w:tcW w:type="dxa" w:w="2771"/>
          </w:tcPr>
          <w:p>
            <w:pPr>
              <w:spacing w:after="0" w:before="0"/>
            </w:pPr>
            <w:r>
              <w:rPr>
                <w:rFonts w:ascii="宋体" w:hAnsi="宋体" w:eastAsia="宋体"/>
                <w:sz w:val="17"/>
              </w:rPr>
              <w:t>项目1 任务1.3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来源、计算、常识核验；政策判断须回到适用制度，不由AI代替。</w:t>
            </w:r>
          </w:p>
        </w:tc>
      </w:tr>
      <w:tr>
        <w:trPr/>
        <w:tc>
          <w:tcPr>
            <w:tcW w:type="dxa" w:w="2771"/>
          </w:tcPr>
          <w:p>
            <w:pPr>
              <w:spacing w:after="0" w:before="0"/>
            </w:pPr>
            <w:r>
              <w:rPr>
                <w:rFonts w:ascii="宋体" w:hAnsi="宋体" w:eastAsia="宋体"/>
                <w:sz w:val="17"/>
              </w:rPr>
              <w:t>项目2 任务2.1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社团与企业收支分类示例。</w:t>
            </w:r>
          </w:p>
        </w:tc>
      </w:tr>
      <w:tr>
        <w:trPr/>
        <w:tc>
          <w:tcPr>
            <w:tcW w:type="dxa" w:w="2771"/>
          </w:tcPr>
          <w:p>
            <w:pPr>
              <w:spacing w:after="0" w:before="0"/>
            </w:pPr>
            <w:r>
              <w:rPr>
                <w:rFonts w:ascii="宋体" w:hAnsi="宋体" w:eastAsia="宋体"/>
                <w:sz w:val="17"/>
              </w:rPr>
              <w:t>项目2 任务2.2</w:t>
            </w:r>
          </w:p>
        </w:tc>
        <w:tc>
          <w:tcPr>
            <w:tcW w:type="dxa" w:w="2771"/>
          </w:tcPr>
          <w:p>
            <w:pPr>
              <w:spacing w:after="0" w:before="0"/>
            </w:pPr>
            <w:r>
              <w:rPr>
                <w:rFonts w:ascii="宋体" w:hAnsi="宋体" w:eastAsia="宋体"/>
                <w:sz w:val="17"/>
              </w:rPr>
              <w:t>《政府会计准则——基本准则》第3条。</w:t>
            </w:r>
          </w:p>
        </w:tc>
        <w:tc>
          <w:tcPr>
            <w:tcW w:type="dxa" w:w="2771"/>
          </w:tcPr>
          <w:p>
            <w:pPr>
              <w:spacing w:after="0" w:before="0"/>
            </w:pPr>
            <w:r>
              <w:rPr>
                <w:rFonts w:ascii="宋体" w:hAnsi="宋体" w:eastAsia="宋体"/>
                <w:sz w:val="17"/>
              </w:rPr>
              <w:t>在【拓展】中明确比较预算会计与财务会计基础；只作政府会计制度说明，不得泛化为学生社团或一般企业的适用制度。</w:t>
            </w:r>
          </w:p>
        </w:tc>
      </w:tr>
      <w:tr>
        <w:trPr/>
        <w:tc>
          <w:tcPr>
            <w:tcW w:type="dxa" w:w="2771"/>
          </w:tcPr>
          <w:p>
            <w:pPr>
              <w:spacing w:after="0" w:before="0"/>
            </w:pPr>
            <w:r>
              <w:rPr>
                <w:rFonts w:ascii="宋体" w:hAnsi="宋体" w:eastAsia="宋体"/>
                <w:sz w:val="17"/>
              </w:rPr>
              <w:t>项目2 任务2.3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预算差异与原因分析。</w:t>
            </w:r>
          </w:p>
        </w:tc>
      </w:tr>
      <w:tr>
        <w:trPr/>
        <w:tc>
          <w:tcPr>
            <w:tcW w:type="dxa" w:w="2771"/>
          </w:tcPr>
          <w:p>
            <w:r>
              <w:t>项目3 任务3.1（v11，基于GitHub v10）</w:t>
            </w:r>
          </w:p>
        </w:tc>
        <w:tc>
          <w:tcPr>
            <w:tcW w:type="dxa" w:w="2771"/>
          </w:tcPr>
          <w:p>
            <w:r>
              <w:t>会计选学内容实质涉及《企业会计准则第4号——固定资产》第八条；适用情形限于固定资产价款超过正常信用条件延期支付且实质具有融资性质。</w:t>
            </w:r>
          </w:p>
        </w:tc>
        <w:tc>
          <w:tcPr>
            <w:tcW w:type="dxa" w:w="2771"/>
          </w:tcPr>
          <w:p>
            <w:r>
              <w:t>已将会计深入内容集中至项目末尾【拓展】，任务正文不逐条引用法规；区分多付金额、合同利息与会计融资费用。正式核算须结合主体、合同现金流和适用准则，法规来源列入任务13.3附录索引。</w:t>
            </w:r>
          </w:p>
        </w:tc>
      </w:tr>
      <w:tr>
        <w:trPr/>
        <w:tc>
          <w:tcPr>
            <w:tcW w:type="dxa" w:w="2771"/>
          </w:tcPr>
          <w:p>
            <w:r>
              <w:t>项目3 任务3.2（工作区v11，基于GitHub v10）</w:t>
            </w:r>
          </w:p>
        </w:tc>
        <w:tc>
          <w:tcPr>
            <w:tcW w:type="dxa" w:w="2771"/>
          </w:tcPr>
          <w:p>
            <w:r>
              <w:t>未发现特定法规引用。</w:t>
            </w:r>
          </w:p>
        </w:tc>
        <w:tc>
          <w:tcPr>
            <w:tcW w:type="dxa" w:w="2771"/>
          </w:tcPr>
          <w:p>
            <w:r>
              <w:t>优惠比较按题设规则和金额计算，不作促销合法性判断；已明确满减门槛按优惠前原价判断、300元以下九折更省、500元为两方案临界点，并将叠加优惠顺序集中至选学拓展。</w:t>
            </w:r>
          </w:p>
        </w:tc>
      </w:tr>
      <w:tr>
        <w:trPr/>
        <w:tc>
          <w:tcPr>
            <w:tcW w:type="dxa" w:w="2771"/>
          </w:tcPr>
          <w:p>
            <w:r>
              <w:t>项目3 任务3.3（工作区v11，基于GitHub v10）</w:t>
            </w:r>
          </w:p>
        </w:tc>
        <w:tc>
          <w:tcPr>
            <w:tcW w:type="dxa" w:w="2771"/>
          </w:tcPr>
          <w:p>
            <w:r>
              <w:t>未发现特定法规引用。</w:t>
            </w:r>
          </w:p>
        </w:tc>
        <w:tc>
          <w:tcPr>
            <w:tcW w:type="dxa" w:w="2771"/>
          </w:tcPr>
          <w:p>
            <w:r>
              <w:t>聚焦AI核算、图表核验与人工承担决策责任；数值、输入敏感性和图表核验作为对应任务选学拓展，未新增法规判断。</w:t>
            </w:r>
          </w:p>
        </w:tc>
      </w:tr>
      <w:tr>
        <w:trPr/>
        <w:tc>
          <w:tcPr>
            <w:tcW w:type="dxa" w:w="2771"/>
          </w:tcPr>
          <w:p>
            <w:pPr>
              <w:spacing w:after="0" w:before="0"/>
            </w:pPr>
            <w:r>
              <w:rPr>
                <w:rFonts w:ascii="宋体" w:hAnsi="宋体" w:eastAsia="宋体"/>
                <w:sz w:val="17"/>
              </w:rPr>
              <w:t>项目4 任务4.1</w:t>
            </w:r>
          </w:p>
        </w:tc>
        <w:tc>
          <w:tcPr>
            <w:tcW w:type="dxa" w:w="2771"/>
          </w:tcPr>
          <w:p>
            <w:pPr>
              <w:spacing w:after="0" w:before="0"/>
            </w:pPr>
            <w:r>
              <w:rPr>
                <w:rFonts w:ascii="宋体" w:hAnsi="宋体" w:eastAsia="宋体"/>
                <w:sz w:val="17"/>
              </w:rPr>
              <w:t>《中华人民共和国会计法》第14条；《会计基础工作规范》第48条第1项；《中华人民共和国发票管理办法》第20条；《中华人民共和国增值税法》第10条第1项；国家税务总局公告2024年第11号第4、11项。</w:t>
            </w:r>
          </w:p>
        </w:tc>
        <w:tc>
          <w:tcPr>
            <w:tcW w:type="dxa" w:w="2771"/>
          </w:tcPr>
          <w:p>
            <w:r>
              <w:t>涉及原始凭证审核、发票合规、题设13%货物税率及数电发票号码/查验渠道；相关法规与公告已补入项目13附录索引。</w:t>
            </w:r>
          </w:p>
        </w:tc>
      </w:tr>
      <w:tr>
        <w:trPr/>
        <w:tc>
          <w:tcPr>
            <w:tcW w:type="dxa" w:w="2771"/>
          </w:tcPr>
          <w:p>
            <w:pPr>
              <w:spacing w:after="0" w:before="0"/>
            </w:pPr>
            <w:r>
              <w:rPr>
                <w:rFonts w:ascii="宋体" w:hAnsi="宋体" w:eastAsia="宋体"/>
                <w:sz w:val="17"/>
              </w:rPr>
              <w:t>项目4 任务4.2</w:t>
            </w:r>
          </w:p>
        </w:tc>
        <w:tc>
          <w:tcPr>
            <w:tcW w:type="dxa" w:w="2771"/>
          </w:tcPr>
          <w:p>
            <w:pPr>
              <w:spacing w:after="0" w:before="0"/>
            </w:pPr>
            <w:r>
              <w:rPr>
                <w:rFonts w:ascii="宋体" w:hAnsi="宋体" w:eastAsia="宋体"/>
                <w:sz w:val="17"/>
              </w:rPr>
              <w:t>《中华人民共和国会计法》第14条；《会计基础工作规范》第48条第1项；《中华人民共和国发票管理办法》第20条。</w:t>
            </w:r>
          </w:p>
        </w:tc>
        <w:tc>
          <w:tcPr>
            <w:tcW w:type="dxa" w:w="2771"/>
          </w:tcPr>
          <w:p>
            <w:pPr>
              <w:spacing w:after="0" w:before="0"/>
            </w:pPr>
            <w:r>
              <w:rPr>
                <w:rFonts w:ascii="宋体" w:hAnsi="宋体" w:eastAsia="宋体"/>
                <w:sz w:val="17"/>
              </w:rPr>
              <w:t>报销材料与原始凭证审核；收据/小票能否作为报销凭证须限定到题设单位制度。</w:t>
            </w:r>
          </w:p>
        </w:tc>
      </w:tr>
      <w:tr>
        <w:trPr/>
        <w:tc>
          <w:tcPr>
            <w:tcW w:type="dxa" w:w="2771"/>
          </w:tcPr>
          <w:p>
            <w:pPr>
              <w:spacing w:after="0" w:before="0"/>
            </w:pPr>
            <w:r>
              <w:rPr>
                <w:rFonts w:ascii="宋体" w:hAnsi="宋体" w:eastAsia="宋体"/>
                <w:sz w:val="17"/>
              </w:rPr>
              <w:t>项目4 任务4.3</w:t>
            </w:r>
          </w:p>
        </w:tc>
        <w:tc>
          <w:tcPr>
            <w:tcW w:type="dxa" w:w="2771"/>
          </w:tcPr>
          <w:p>
            <w:pPr>
              <w:spacing w:after="0" w:before="0"/>
            </w:pPr>
            <w:r>
              <w:rPr>
                <w:rFonts w:ascii="宋体" w:hAnsi="宋体" w:eastAsia="宋体"/>
                <w:sz w:val="17"/>
              </w:rPr>
              <w:t>《中华人民共和国会计法》第14条；《会计基础工作规范》第48条第1项；《中华人民共和国发票管理办法》第20条；数电发票情形适用国家税务总局公告2024年第11号。</w:t>
            </w:r>
          </w:p>
        </w:tc>
        <w:tc>
          <w:tcPr>
            <w:tcW w:type="dxa" w:w="2771"/>
          </w:tcPr>
          <w:p>
            <w:r>
              <w:t>票据识别、查验及报销单生成；AI识别结果须回到原票核验，数电发票相关公告已列入项目13附录索引。</w:t>
            </w:r>
          </w:p>
        </w:tc>
      </w:tr>
      <w:tr>
        <w:trPr/>
        <w:tc>
          <w:tcPr>
            <w:tcW w:type="dxa" w:w="2771"/>
          </w:tcPr>
          <w:p>
            <w:pPr>
              <w:spacing w:after="0" w:before="0"/>
            </w:pPr>
            <w:r>
              <w:rPr>
                <w:rFonts w:ascii="宋体" w:hAnsi="宋体" w:eastAsia="宋体"/>
                <w:sz w:val="17"/>
              </w:rPr>
              <w:t>项目5 任务5.1</w:t>
            </w:r>
          </w:p>
        </w:tc>
        <w:tc>
          <w:tcPr>
            <w:tcW w:type="dxa" w:w="2771"/>
          </w:tcPr>
          <w:p>
            <w:pPr>
              <w:spacing w:after="0" w:before="0"/>
            </w:pPr>
            <w:r>
              <w:rPr>
                <w:rFonts w:ascii="宋体" w:hAnsi="宋体" w:eastAsia="宋体"/>
                <w:sz w:val="17"/>
              </w:rPr>
              <w:t>《企业会计准则——基本准则》第9条；《企业会计准则第14号——收入》第4、5条；《企业会计准则第1号——存货》第14条。</w:t>
            </w:r>
          </w:p>
        </w:tc>
        <w:tc>
          <w:tcPr>
            <w:tcW w:type="dxa" w:w="2771"/>
          </w:tcPr>
          <w:p>
            <w:pPr>
              <w:spacing w:after="0" w:before="0"/>
            </w:pPr>
            <w:r>
              <w:rPr>
                <w:rFonts w:ascii="宋体" w:hAnsi="宋体" w:eastAsia="宋体"/>
                <w:sz w:val="17"/>
              </w:rPr>
              <w:t>分别涉及权责发生制、商品控制权与履约义务、发出存货成本计价。适用企业会计准则须与青禾文具的题设会计制度一致；星空社团收支口径另行说明。</w:t>
            </w:r>
          </w:p>
        </w:tc>
      </w:tr>
      <w:tr>
        <w:trPr/>
        <w:tc>
          <w:tcPr>
            <w:tcW w:type="dxa" w:w="2771"/>
          </w:tcPr>
          <w:p>
            <w:pPr>
              <w:spacing w:after="0" w:before="0"/>
            </w:pPr>
            <w:r>
              <w:rPr>
                <w:rFonts w:ascii="宋体" w:hAnsi="宋体" w:eastAsia="宋体"/>
                <w:sz w:val="17"/>
              </w:rPr>
              <w:t>项目5 任务5.2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利润、边际贡献及保本量为教学计算；不作为企业法定报表结论。</w:t>
            </w:r>
          </w:p>
        </w:tc>
      </w:tr>
      <w:tr>
        <w:trPr/>
        <w:tc>
          <w:tcPr>
            <w:tcW w:type="dxa" w:w="2771"/>
          </w:tcPr>
          <w:p>
            <w:pPr>
              <w:spacing w:after="0" w:before="0"/>
            </w:pPr>
            <w:r>
              <w:rPr>
                <w:rFonts w:ascii="宋体" w:hAnsi="宋体" w:eastAsia="宋体"/>
                <w:sz w:val="17"/>
              </w:rPr>
              <w:t>项目5 任务5.3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AI复盘及成本/利润口径核对。</w:t>
            </w:r>
          </w:p>
        </w:tc>
      </w:tr>
      <w:tr>
        <w:trPr/>
        <w:tc>
          <w:tcPr>
            <w:tcW w:type="dxa" w:w="2771"/>
          </w:tcPr>
          <w:p>
            <w:pPr>
              <w:spacing w:after="0" w:before="0"/>
            </w:pPr>
            <w:r>
              <w:rPr>
                <w:rFonts w:ascii="宋体" w:hAnsi="宋体" w:eastAsia="宋体"/>
                <w:sz w:val="17"/>
              </w:rPr>
              <w:t>项目6 任务6.1</w:t>
            </w:r>
          </w:p>
        </w:tc>
        <w:tc>
          <w:tcPr>
            <w:tcW w:type="dxa" w:w="2771"/>
          </w:tcPr>
          <w:p>
            <w:pPr>
              <w:spacing w:after="0" w:before="0"/>
            </w:pPr>
            <w:r>
              <w:rPr>
                <w:rFonts w:ascii="宋体" w:hAnsi="宋体" w:eastAsia="宋体"/>
                <w:sz w:val="17"/>
              </w:rPr>
              <w:t>《企业会计准则第4号——固定资产》第3、4、7、8条（青禾企业线）。</w:t>
            </w:r>
          </w:p>
        </w:tc>
        <w:tc>
          <w:tcPr>
            <w:tcW w:type="dxa" w:w="2771"/>
          </w:tcPr>
          <w:p>
            <w:pPr>
              <w:spacing w:after="0" w:before="0"/>
            </w:pPr>
            <w:r>
              <w:rPr>
                <w:rFonts w:ascii="宋体" w:hAnsi="宋体" w:eastAsia="宋体"/>
                <w:sz w:val="17"/>
              </w:rPr>
              <w:t>固定资产特征、确认、初始计量；校园线为简化管理案例，不应不加说明地套作企业账务。</w:t>
            </w:r>
          </w:p>
        </w:tc>
      </w:tr>
      <w:tr>
        <w:trPr/>
        <w:tc>
          <w:tcPr>
            <w:tcW w:type="dxa" w:w="2771"/>
          </w:tcPr>
          <w:p>
            <w:pPr>
              <w:spacing w:after="0" w:before="0"/>
            </w:pPr>
            <w:r>
              <w:rPr>
                <w:rFonts w:ascii="宋体" w:hAnsi="宋体" w:eastAsia="宋体"/>
                <w:sz w:val="17"/>
              </w:rPr>
              <w:t>项目6 任务6.2</w:t>
            </w:r>
          </w:p>
        </w:tc>
        <w:tc>
          <w:tcPr>
            <w:tcW w:type="dxa" w:w="2771"/>
          </w:tcPr>
          <w:p>
            <w:pPr>
              <w:spacing w:after="0" w:before="0"/>
            </w:pPr>
            <w:r>
              <w:rPr>
                <w:rFonts w:ascii="宋体" w:hAnsi="宋体" w:eastAsia="宋体"/>
                <w:sz w:val="17"/>
              </w:rPr>
              <w:t>《企业会计准则第4号——固定资产》第14—18条（青禾企业线）。</w:t>
            </w:r>
          </w:p>
        </w:tc>
        <w:tc>
          <w:tcPr>
            <w:tcW w:type="dxa" w:w="2771"/>
          </w:tcPr>
          <w:p>
            <w:pPr>
              <w:spacing w:after="0" w:before="0"/>
            </w:pPr>
            <w:r>
              <w:rPr>
                <w:rFonts w:ascii="宋体" w:hAnsi="宋体" w:eastAsia="宋体"/>
                <w:sz w:val="17"/>
              </w:rPr>
              <w:t>折旧、净残值、使用寿命、方法及按月计提。</w:t>
            </w:r>
          </w:p>
        </w:tc>
      </w:tr>
      <w:tr>
        <w:trPr/>
        <w:tc>
          <w:tcPr>
            <w:tcW w:type="dxa" w:w="2771"/>
          </w:tcPr>
          <w:p>
            <w:pPr>
              <w:spacing w:after="0" w:before="0"/>
            </w:pPr>
            <w:r>
              <w:rPr>
                <w:rFonts w:ascii="宋体" w:hAnsi="宋体" w:eastAsia="宋体"/>
                <w:sz w:val="17"/>
              </w:rPr>
              <w:t>项目6 任务6.3</w:t>
            </w:r>
          </w:p>
        </w:tc>
        <w:tc>
          <w:tcPr>
            <w:tcW w:type="dxa" w:w="2771"/>
          </w:tcPr>
          <w:p>
            <w:pPr>
              <w:spacing w:after="0" w:before="0"/>
            </w:pPr>
            <w:r>
              <w:rPr>
                <w:rFonts w:ascii="宋体" w:hAnsi="宋体" w:eastAsia="宋体"/>
                <w:sz w:val="17"/>
              </w:rPr>
              <w:t>《企业会计准则第4号——固定资产》第19条；相关会计估计变更按适用准则处理。</w:t>
            </w:r>
          </w:p>
        </w:tc>
        <w:tc>
          <w:tcPr>
            <w:tcW w:type="dxa" w:w="2771"/>
          </w:tcPr>
          <w:p>
            <w:pPr>
              <w:spacing w:after="0" w:before="0"/>
            </w:pPr>
            <w:r>
              <w:rPr>
                <w:rFonts w:ascii="宋体" w:hAnsi="宋体" w:eastAsia="宋体"/>
                <w:sz w:val="17"/>
              </w:rPr>
              <w:t>使用年限、残值或折旧方法复核与调整；须说明依据，不能作为调节利润的任意选择。</w:t>
            </w:r>
          </w:p>
        </w:tc>
      </w:tr>
      <w:tr>
        <w:trPr/>
        <w:tc>
          <w:tcPr>
            <w:tcW w:type="dxa" w:w="2771"/>
          </w:tcPr>
          <w:p>
            <w:pPr>
              <w:spacing w:after="0" w:before="0"/>
            </w:pPr>
            <w:r>
              <w:rPr>
                <w:rFonts w:ascii="宋体" w:hAnsi="宋体" w:eastAsia="宋体"/>
                <w:sz w:val="17"/>
              </w:rPr>
              <w:t>项目7 任务7.1</w:t>
            </w:r>
          </w:p>
        </w:tc>
        <w:tc>
          <w:tcPr>
            <w:tcW w:type="dxa" w:w="2771"/>
          </w:tcPr>
          <w:p>
            <w:pPr>
              <w:spacing w:after="0" w:before="0"/>
            </w:pPr>
            <w:r>
              <w:rPr>
                <w:rFonts w:ascii="宋体" w:hAnsi="宋体" w:eastAsia="宋体"/>
                <w:sz w:val="17"/>
              </w:rPr>
              <w:t>《中华人民共和国个人所得税法》；工资条涉及个人信息时适用《中华人民共和国个人信息保护法》第4、6条。</w:t>
            </w:r>
          </w:p>
        </w:tc>
        <w:tc>
          <w:tcPr>
            <w:tcW w:type="dxa" w:w="2771"/>
          </w:tcPr>
          <w:p>
            <w:pPr>
              <w:spacing w:after="0" w:before="0"/>
            </w:pPr>
            <w:r>
              <w:rPr>
                <w:rFonts w:ascii="宋体" w:hAnsi="宋体" w:eastAsia="宋体"/>
                <w:sz w:val="17"/>
              </w:rPr>
              <w:t>工资性质、个人所得税扣缴与个人信息风险；社保、公积金扣款按题设事实呈现，不据此概括普遍缴费规则。</w:t>
            </w:r>
          </w:p>
        </w:tc>
      </w:tr>
      <w:tr>
        <w:trPr/>
        <w:tc>
          <w:tcPr>
            <w:tcW w:type="dxa" w:w="2771"/>
          </w:tcPr>
          <w:p>
            <w:pPr>
              <w:spacing w:after="0" w:before="0"/>
            </w:pPr>
            <w:r>
              <w:rPr>
                <w:rFonts w:ascii="宋体" w:hAnsi="宋体" w:eastAsia="宋体"/>
                <w:sz w:val="17"/>
              </w:rPr>
              <w:t>项目7 任务7.2</w:t>
            </w:r>
          </w:p>
        </w:tc>
        <w:tc>
          <w:tcPr>
            <w:tcW w:type="dxa" w:w="2771"/>
          </w:tcPr>
          <w:p>
            <w:pPr>
              <w:spacing w:after="0" w:before="0"/>
            </w:pPr>
            <w:r>
              <w:rPr>
                <w:rFonts w:ascii="宋体" w:hAnsi="宋体" w:eastAsia="宋体"/>
                <w:sz w:val="17"/>
              </w:rPr>
              <w:t>《中华人民共和国个人所得税法》第6、11条；国家税务总局公告2018年第61号《个人所得税扣缴申报管理办法（试行）》第6、7条及税率表。</w:t>
            </w:r>
          </w:p>
        </w:tc>
        <w:tc>
          <w:tcPr>
            <w:tcW w:type="dxa" w:w="2771"/>
          </w:tcPr>
          <w:p>
            <w:r>
              <w:t>综合所得、减除费用、专项附加扣除和工资薪金累计预扣。个人所得税法及扣缴申报办法已补入项目13附录索引；出版前复核现行口径。</w:t>
            </w:r>
          </w:p>
        </w:tc>
      </w:tr>
      <w:tr>
        <w:trPr/>
        <w:tc>
          <w:tcPr>
            <w:tcW w:type="dxa" w:w="2771"/>
          </w:tcPr>
          <w:p>
            <w:pPr>
              <w:spacing w:after="0" w:before="0"/>
            </w:pPr>
            <w:r>
              <w:rPr>
                <w:rFonts w:ascii="宋体" w:hAnsi="宋体" w:eastAsia="宋体"/>
                <w:sz w:val="17"/>
              </w:rPr>
              <w:t>项目7 任务7.3</w:t>
            </w:r>
          </w:p>
        </w:tc>
        <w:tc>
          <w:tcPr>
            <w:tcW w:type="dxa" w:w="2771"/>
          </w:tcPr>
          <w:p>
            <w:pPr>
              <w:spacing w:after="0" w:before="0"/>
            </w:pPr>
            <w:r>
              <w:rPr>
                <w:rFonts w:ascii="宋体" w:hAnsi="宋体" w:eastAsia="宋体"/>
                <w:sz w:val="17"/>
              </w:rPr>
              <w:t>同任务7.2的个人所得税依据；真实工资数据另涉及个人信息保护。</w:t>
            </w:r>
          </w:p>
        </w:tc>
        <w:tc>
          <w:tcPr>
            <w:tcW w:type="dxa" w:w="2771"/>
          </w:tcPr>
          <w:p>
            <w:pPr>
              <w:spacing w:after="0" w:before="0"/>
            </w:pPr>
            <w:r>
              <w:rPr>
                <w:rFonts w:ascii="宋体" w:hAnsi="宋体" w:eastAsia="宋体"/>
                <w:sz w:val="17"/>
              </w:rPr>
              <w:t>AI核算错误须按现行规则复算；题设演示不能替代个人实际申报。</w:t>
            </w:r>
          </w:p>
        </w:tc>
      </w:tr>
      <w:tr>
        <w:trPr/>
        <w:tc>
          <w:tcPr>
            <w:tcW w:type="dxa" w:w="2771"/>
          </w:tcPr>
          <w:p>
            <w:pPr>
              <w:spacing w:after="0" w:before="0"/>
            </w:pPr>
            <w:r>
              <w:rPr>
                <w:rFonts w:ascii="宋体" w:hAnsi="宋体" w:eastAsia="宋体"/>
                <w:sz w:val="17"/>
              </w:rPr>
              <w:t>项目8 任务8.1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电子表格公式与数据范围核对。</w:t>
            </w:r>
          </w:p>
        </w:tc>
      </w:tr>
      <w:tr>
        <w:trPr/>
        <w:tc>
          <w:tcPr>
            <w:tcW w:type="dxa" w:w="2771"/>
          </w:tcPr>
          <w:p>
            <w:pPr>
              <w:spacing w:after="0" w:before="0"/>
            </w:pPr>
            <w:r>
              <w:rPr>
                <w:rFonts w:ascii="宋体" w:hAnsi="宋体" w:eastAsia="宋体"/>
                <w:sz w:val="17"/>
              </w:rPr>
              <w:t>项目8 任务8.2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清洗/去重练习使用题设数据；若换入可识别个人的数据，适用全书数据保护总则。</w:t>
            </w:r>
          </w:p>
        </w:tc>
      </w:tr>
      <w:tr>
        <w:trPr/>
        <w:tc>
          <w:tcPr>
            <w:tcW w:type="dxa" w:w="2771"/>
          </w:tcPr>
          <w:p>
            <w:pPr>
              <w:spacing w:after="0" w:before="0"/>
            </w:pPr>
            <w:r>
              <w:rPr>
                <w:rFonts w:ascii="宋体" w:hAnsi="宋体" w:eastAsia="宋体"/>
                <w:sz w:val="17"/>
              </w:rPr>
              <w:t>项目8 任务8.3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预算与收支表模板。</w:t>
            </w:r>
          </w:p>
        </w:tc>
      </w:tr>
      <w:tr>
        <w:trPr/>
        <w:tc>
          <w:tcPr>
            <w:tcW w:type="dxa" w:w="2771"/>
          </w:tcPr>
          <w:p>
            <w:pPr>
              <w:spacing w:after="0" w:before="0"/>
            </w:pPr>
            <w:r>
              <w:rPr>
                <w:rFonts w:ascii="宋体" w:hAnsi="宋体" w:eastAsia="宋体"/>
                <w:sz w:val="17"/>
              </w:rPr>
              <w:t>项目9 任务9.1</w:t>
            </w:r>
          </w:p>
        </w:tc>
        <w:tc>
          <w:tcPr>
            <w:tcW w:type="dxa" w:w="2771"/>
          </w:tcPr>
          <w:p>
            <w:pPr>
              <w:spacing w:after="0" w:before="0"/>
            </w:pPr>
            <w:r>
              <w:rPr>
                <w:rFonts w:ascii="宋体" w:hAnsi="宋体" w:eastAsia="宋体"/>
                <w:sz w:val="17"/>
              </w:rPr>
              <w:t>《企业会计准则——基本准则》第9条；企业线收入确认涉及《企业会计准则第14号——收入》第4、5条。</w:t>
            </w:r>
          </w:p>
        </w:tc>
        <w:tc>
          <w:tcPr>
            <w:tcW w:type="dxa" w:w="2771"/>
          </w:tcPr>
          <w:p>
            <w:pPr>
              <w:spacing w:after="0" w:before="0"/>
            </w:pPr>
            <w:r>
              <w:rPr>
                <w:rFonts w:ascii="宋体" w:hAnsi="宋体" w:eastAsia="宋体"/>
                <w:sz w:val="17"/>
              </w:rPr>
              <w:t>比较收付口径与权责发生制；不得将仅有销售单或收款权视为满足收入确认条件。</w:t>
            </w:r>
          </w:p>
        </w:tc>
      </w:tr>
      <w:tr>
        <w:trPr/>
        <w:tc>
          <w:tcPr>
            <w:tcW w:type="dxa" w:w="2771"/>
          </w:tcPr>
          <w:p>
            <w:pPr>
              <w:spacing w:after="0" w:before="0"/>
            </w:pPr>
            <w:r>
              <w:rPr>
                <w:rFonts w:ascii="宋体" w:hAnsi="宋体" w:eastAsia="宋体"/>
                <w:sz w:val="17"/>
              </w:rPr>
              <w:t>项目9 任务9.2</w:t>
            </w:r>
          </w:p>
        </w:tc>
        <w:tc>
          <w:tcPr>
            <w:tcW w:type="dxa" w:w="2771"/>
          </w:tcPr>
          <w:p>
            <w:pPr>
              <w:spacing w:after="0" w:before="0"/>
            </w:pPr>
            <w:r>
              <w:rPr>
                <w:rFonts w:ascii="宋体" w:hAnsi="宋体" w:eastAsia="宋体"/>
                <w:sz w:val="17"/>
              </w:rPr>
              <w:t>未发现新增特定法规引用。</w:t>
            </w:r>
          </w:p>
        </w:tc>
        <w:tc>
          <w:tcPr>
            <w:tcW w:type="dxa" w:w="2771"/>
          </w:tcPr>
          <w:p>
            <w:pPr>
              <w:spacing w:after="0" w:before="0"/>
            </w:pPr>
            <w:r>
              <w:rPr>
                <w:rFonts w:ascii="宋体" w:hAnsi="宋体" w:eastAsia="宋体"/>
                <w:sz w:val="17"/>
              </w:rPr>
              <w:t>经营说明沿用任务9.1的数据口径。</w:t>
            </w:r>
          </w:p>
        </w:tc>
      </w:tr>
      <w:tr>
        <w:trPr/>
        <w:tc>
          <w:tcPr>
            <w:tcW w:type="dxa" w:w="2771"/>
          </w:tcPr>
          <w:p>
            <w:pPr>
              <w:spacing w:after="0" w:before="0"/>
            </w:pPr>
            <w:r>
              <w:rPr>
                <w:rFonts w:ascii="宋体" w:hAnsi="宋体" w:eastAsia="宋体"/>
                <w:sz w:val="17"/>
              </w:rPr>
              <w:t>项目9 任务9.3</w:t>
            </w:r>
          </w:p>
        </w:tc>
        <w:tc>
          <w:tcPr>
            <w:tcW w:type="dxa" w:w="2771"/>
          </w:tcPr>
          <w:p>
            <w:pPr>
              <w:spacing w:after="0" w:before="0"/>
            </w:pPr>
            <w:r>
              <w:rPr>
                <w:rFonts w:ascii="宋体" w:hAnsi="宋体" w:eastAsia="宋体"/>
                <w:sz w:val="17"/>
              </w:rPr>
              <w:t>未发现新增特定法规引用。</w:t>
            </w:r>
          </w:p>
        </w:tc>
        <w:tc>
          <w:tcPr>
            <w:tcW w:type="dxa" w:w="2771"/>
          </w:tcPr>
          <w:p>
            <w:pPr>
              <w:spacing w:after="0" w:before="0"/>
            </w:pPr>
            <w:r>
              <w:rPr>
                <w:rFonts w:ascii="宋体" w:hAnsi="宋体" w:eastAsia="宋体"/>
                <w:sz w:val="17"/>
              </w:rPr>
              <w:t>管理说明与差异分析；不作无依据的合规/责任判断。</w:t>
            </w:r>
          </w:p>
        </w:tc>
      </w:tr>
      <w:tr>
        <w:trPr/>
        <w:tc>
          <w:tcPr>
            <w:tcW w:type="dxa" w:w="2771"/>
          </w:tcPr>
          <w:p>
            <w:pPr>
              <w:spacing w:after="0" w:before="0"/>
            </w:pPr>
            <w:r>
              <w:rPr>
                <w:rFonts w:ascii="宋体" w:hAnsi="宋体" w:eastAsia="宋体"/>
                <w:sz w:val="17"/>
              </w:rPr>
              <w:t>项目10 任务10.1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图表选择与数据表达。</w:t>
            </w:r>
          </w:p>
        </w:tc>
      </w:tr>
      <w:tr>
        <w:trPr/>
        <w:tc>
          <w:tcPr>
            <w:tcW w:type="dxa" w:w="2771"/>
          </w:tcPr>
          <w:p>
            <w:pPr>
              <w:spacing w:after="0" w:before="0"/>
            </w:pPr>
            <w:r>
              <w:rPr>
                <w:rFonts w:ascii="宋体" w:hAnsi="宋体" w:eastAsia="宋体"/>
                <w:sz w:val="17"/>
              </w:rPr>
              <w:t>项目10 任务10.2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图表生成与坐标轴核验。</w:t>
            </w:r>
          </w:p>
        </w:tc>
      </w:tr>
      <w:tr>
        <w:trPr/>
        <w:tc>
          <w:tcPr>
            <w:tcW w:type="dxa" w:w="2771"/>
          </w:tcPr>
          <w:p>
            <w:pPr>
              <w:spacing w:after="0" w:before="0"/>
            </w:pPr>
            <w:r>
              <w:rPr>
                <w:rFonts w:ascii="宋体" w:hAnsi="宋体" w:eastAsia="宋体"/>
                <w:sz w:val="17"/>
              </w:rPr>
              <w:t>项目10 任务10.3</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结论表达与证据核对。</w:t>
            </w:r>
          </w:p>
        </w:tc>
      </w:tr>
      <w:tr>
        <w:trPr/>
        <w:tc>
          <w:tcPr>
            <w:tcW w:type="dxa" w:w="2771"/>
          </w:tcPr>
          <w:p>
            <w:pPr>
              <w:spacing w:after="0" w:before="0"/>
            </w:pPr>
            <w:r>
              <w:rPr>
                <w:rFonts w:ascii="宋体" w:hAnsi="宋体" w:eastAsia="宋体"/>
                <w:sz w:val="17"/>
              </w:rPr>
              <w:t>项目11 任务11.1</w:t>
            </w:r>
          </w:p>
        </w:tc>
        <w:tc>
          <w:tcPr>
            <w:tcW w:type="dxa" w:w="2771"/>
          </w:tcPr>
          <w:p>
            <w:pPr>
              <w:spacing w:after="0" w:before="0"/>
            </w:pPr>
            <w:r>
              <w:rPr>
                <w:rFonts w:ascii="宋体" w:hAnsi="宋体" w:eastAsia="宋体"/>
                <w:sz w:val="17"/>
              </w:rPr>
              <w:t>无国家法律法规引用；《学生社团经费报销办法（示例）》及青禾内部制度均为教学模拟材料。</w:t>
            </w:r>
          </w:p>
        </w:tc>
        <w:tc>
          <w:tcPr>
            <w:tcW w:type="dxa" w:w="2771"/>
          </w:tcPr>
          <w:p>
            <w:pPr>
              <w:spacing w:after="0" w:before="0"/>
            </w:pPr>
            <w:r>
              <w:rPr>
                <w:rFonts w:ascii="宋体" w:hAnsi="宋体" w:eastAsia="宋体"/>
                <w:sz w:val="17"/>
              </w:rPr>
              <w:t>不得把虚构制度当作真实法规或单位现行制度。</w:t>
            </w:r>
          </w:p>
        </w:tc>
      </w:tr>
      <w:tr>
        <w:trPr/>
        <w:tc>
          <w:tcPr>
            <w:tcW w:type="dxa" w:w="2771"/>
          </w:tcPr>
          <w:p>
            <w:pPr>
              <w:spacing w:after="0" w:before="0"/>
            </w:pPr>
            <w:r>
              <w:rPr>
                <w:rFonts w:ascii="宋体" w:hAnsi="宋体" w:eastAsia="宋体"/>
                <w:sz w:val="17"/>
              </w:rPr>
              <w:t>项目11 任务11.2</w:t>
            </w:r>
          </w:p>
        </w:tc>
        <w:tc>
          <w:tcPr>
            <w:tcW w:type="dxa" w:w="2771"/>
          </w:tcPr>
          <w:p>
            <w:pPr>
              <w:spacing w:after="0" w:before="0"/>
            </w:pPr>
            <w:r>
              <w:rPr>
                <w:rFonts w:ascii="宋体" w:hAnsi="宋体" w:eastAsia="宋体"/>
                <w:sz w:val="17"/>
              </w:rPr>
              <w:t>无国家法律法规引用；同任务11.1的模拟制度。</w:t>
            </w:r>
          </w:p>
        </w:tc>
        <w:tc>
          <w:tcPr>
            <w:tcW w:type="dxa" w:w="2771"/>
          </w:tcPr>
          <w:p>
            <w:pPr>
              <w:spacing w:after="0" w:before="0"/>
            </w:pPr>
            <w:r>
              <w:rPr>
                <w:rFonts w:ascii="宋体" w:hAnsi="宋体" w:eastAsia="宋体"/>
                <w:sz w:val="17"/>
              </w:rPr>
              <w:t>知识库建立须保留制度原文、版本与适用范围。</w:t>
            </w:r>
          </w:p>
        </w:tc>
      </w:tr>
      <w:tr>
        <w:trPr/>
        <w:tc>
          <w:tcPr>
            <w:tcW w:type="dxa" w:w="2771"/>
          </w:tcPr>
          <w:p>
            <w:pPr>
              <w:spacing w:after="0" w:before="0"/>
            </w:pPr>
            <w:r>
              <w:rPr>
                <w:rFonts w:ascii="宋体" w:hAnsi="宋体" w:eastAsia="宋体"/>
                <w:sz w:val="17"/>
              </w:rPr>
              <w:t>项目11 任务11.3</w:t>
            </w:r>
          </w:p>
        </w:tc>
        <w:tc>
          <w:tcPr>
            <w:tcW w:type="dxa" w:w="2771"/>
          </w:tcPr>
          <w:p>
            <w:pPr>
              <w:spacing w:after="0" w:before="0"/>
            </w:pPr>
            <w:r>
              <w:rPr>
                <w:rFonts w:ascii="宋体" w:hAnsi="宋体" w:eastAsia="宋体"/>
                <w:sz w:val="17"/>
              </w:rPr>
              <w:t>无国家法律法规引用；同任务11.1的模拟制度。</w:t>
            </w:r>
          </w:p>
        </w:tc>
        <w:tc>
          <w:tcPr>
            <w:tcW w:type="dxa" w:w="2771"/>
          </w:tcPr>
          <w:p>
            <w:pPr>
              <w:spacing w:after="0" w:before="0"/>
            </w:pPr>
            <w:r>
              <w:rPr>
                <w:rFonts w:ascii="宋体" w:hAnsi="宋体" w:eastAsia="宋体"/>
                <w:sz w:val="17"/>
              </w:rPr>
              <w:t>问答测试须按给定制度原文判断，未覆盖时拒绝推断。</w:t>
            </w:r>
          </w:p>
        </w:tc>
      </w:tr>
      <w:tr>
        <w:trPr/>
        <w:tc>
          <w:tcPr>
            <w:tcW w:type="dxa" w:w="2771"/>
          </w:tcPr>
          <w:p>
            <w:pPr>
              <w:spacing w:after="0" w:before="0"/>
            </w:pPr>
            <w:r>
              <w:rPr>
                <w:rFonts w:ascii="宋体" w:hAnsi="宋体" w:eastAsia="宋体"/>
                <w:sz w:val="17"/>
              </w:rPr>
              <w:t>项目12 任务12.1</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智能体任务与人工审批责任边界。</w:t>
            </w:r>
          </w:p>
        </w:tc>
      </w:tr>
      <w:tr>
        <w:trPr/>
        <w:tc>
          <w:tcPr>
            <w:tcW w:type="dxa" w:w="2771"/>
          </w:tcPr>
          <w:p>
            <w:pPr>
              <w:spacing w:after="0" w:before="0"/>
            </w:pPr>
            <w:r>
              <w:rPr>
                <w:rFonts w:ascii="宋体" w:hAnsi="宋体" w:eastAsia="宋体"/>
                <w:sz w:val="17"/>
              </w:rPr>
              <w:t>项目12 任务12.2</w:t>
            </w:r>
          </w:p>
        </w:tc>
        <w:tc>
          <w:tcPr>
            <w:tcW w:type="dxa" w:w="2771"/>
          </w:tcPr>
          <w:p>
            <w:pPr>
              <w:spacing w:after="0" w:before="0"/>
            </w:pPr>
            <w:r>
              <w:rPr>
                <w:rFonts w:ascii="宋体" w:hAnsi="宋体" w:eastAsia="宋体"/>
                <w:sz w:val="17"/>
              </w:rPr>
              <w:t>未发现特定法规引用。</w:t>
            </w:r>
          </w:p>
        </w:tc>
        <w:tc>
          <w:tcPr>
            <w:tcW w:type="dxa" w:w="2771"/>
          </w:tcPr>
          <w:p>
            <w:pPr>
              <w:spacing w:after="0" w:before="0"/>
            </w:pPr>
            <w:r>
              <w:rPr>
                <w:rFonts w:ascii="宋体" w:hAnsi="宋体" w:eastAsia="宋体"/>
                <w:sz w:val="17"/>
              </w:rPr>
              <w:t>知识库、计算工具和权限设计。</w:t>
            </w:r>
          </w:p>
        </w:tc>
      </w:tr>
      <w:tr>
        <w:trPr/>
        <w:tc>
          <w:tcPr>
            <w:tcW w:type="dxa" w:w="2771"/>
          </w:tcPr>
          <w:p>
            <w:pPr>
              <w:spacing w:after="0" w:before="0"/>
            </w:pPr>
            <w:r>
              <w:rPr>
                <w:rFonts w:ascii="宋体" w:hAnsi="宋体" w:eastAsia="宋体"/>
                <w:sz w:val="17"/>
              </w:rPr>
              <w:t>项目12 任务12.3（拓展）</w:t>
            </w:r>
          </w:p>
        </w:tc>
        <w:tc>
          <w:tcPr>
            <w:tcW w:type="dxa" w:w="2771"/>
          </w:tcPr>
          <w:p>
            <w:pPr>
              <w:spacing w:after="0" w:before="0"/>
            </w:pPr>
            <w:r>
              <w:rPr>
                <w:rFonts w:ascii="宋体" w:hAnsi="宋体" w:eastAsia="宋体"/>
                <w:sz w:val="17"/>
              </w:rPr>
              <w:t>涉及《中华人民共和国个人信息保护法》第4、6、51、73条及《中华人民共和国数据安全法》第27条；正文未逐条引用。</w:t>
            </w:r>
          </w:p>
        </w:tc>
        <w:tc>
          <w:tcPr>
            <w:tcW w:type="dxa" w:w="2771"/>
          </w:tcPr>
          <w:p>
            <w:pPr>
              <w:spacing w:after="0" w:before="0"/>
            </w:pPr>
            <w:r>
              <w:rPr>
                <w:rFonts w:ascii="宋体" w:hAnsi="宋体" w:eastAsia="宋体"/>
                <w:sz w:val="17"/>
              </w:rPr>
              <w:t>测试数据隐私、去标识化与匿名化；第73条第3项是去标识化，第4项是匿名化。</w:t>
            </w:r>
          </w:p>
        </w:tc>
      </w:tr>
      <w:tr>
        <w:trPr/>
        <w:tc>
          <w:tcPr>
            <w:tcW w:type="dxa" w:w="2771"/>
          </w:tcPr>
          <w:p>
            <w:pPr>
              <w:spacing w:after="0" w:before="0"/>
            </w:pPr>
            <w:r>
              <w:rPr>
                <w:rFonts w:ascii="宋体" w:hAnsi="宋体" w:eastAsia="宋体"/>
                <w:sz w:val="17"/>
              </w:rPr>
              <w:t>项目13 任务13.1</w:t>
            </w:r>
          </w:p>
        </w:tc>
        <w:tc>
          <w:tcPr>
            <w:tcW w:type="dxa" w:w="2771"/>
          </w:tcPr>
          <w:p>
            <w:pPr>
              <w:spacing w:after="0" w:before="0"/>
            </w:pPr>
            <w:r>
              <w:rPr>
                <w:rFonts w:ascii="宋体" w:hAnsi="宋体" w:eastAsia="宋体"/>
                <w:sz w:val="17"/>
              </w:rPr>
              <w:t>未引用具体法规条文。</w:t>
            </w:r>
          </w:p>
        </w:tc>
        <w:tc>
          <w:tcPr>
            <w:tcW w:type="dxa" w:w="2771"/>
          </w:tcPr>
          <w:p>
            <w:pPr>
              <w:spacing w:after="0" w:before="0"/>
            </w:pPr>
            <w:r>
              <w:rPr>
                <w:rFonts w:ascii="宋体" w:hAnsi="宋体" w:eastAsia="宋体"/>
                <w:sz w:val="17"/>
              </w:rPr>
              <w:t>识别漏票、算错与编造政策。</w:t>
            </w:r>
          </w:p>
        </w:tc>
      </w:tr>
      <w:tr>
        <w:trPr/>
        <w:tc>
          <w:tcPr>
            <w:tcW w:type="dxa" w:w="2771"/>
          </w:tcPr>
          <w:p>
            <w:pPr>
              <w:spacing w:after="0" w:before="0"/>
            </w:pPr>
            <w:r>
              <w:rPr>
                <w:rFonts w:ascii="宋体" w:hAnsi="宋体" w:eastAsia="宋体"/>
                <w:sz w:val="17"/>
              </w:rPr>
              <w:t>项目13 任务13.2</w:t>
            </w:r>
          </w:p>
        </w:tc>
        <w:tc>
          <w:tcPr>
            <w:tcW w:type="dxa" w:w="2771"/>
          </w:tcPr>
          <w:p>
            <w:pPr>
              <w:spacing w:after="0" w:before="0"/>
            </w:pPr>
            <w:r>
              <w:rPr>
                <w:rFonts w:ascii="宋体" w:hAnsi="宋体" w:eastAsia="宋体"/>
                <w:sz w:val="17"/>
              </w:rPr>
              <w:t>未引用具体法规条文。</w:t>
            </w:r>
          </w:p>
        </w:tc>
        <w:tc>
          <w:tcPr>
            <w:tcW w:type="dxa" w:w="2771"/>
          </w:tcPr>
          <w:p>
            <w:pPr>
              <w:spacing w:after="0" w:before="0"/>
            </w:pPr>
            <w:r>
              <w:rPr>
                <w:rFonts w:ascii="宋体" w:hAnsi="宋体" w:eastAsia="宋体"/>
                <w:sz w:val="17"/>
              </w:rPr>
              <w:t>设计人工复核清单。</w:t>
            </w:r>
          </w:p>
        </w:tc>
      </w:tr>
      <w:tr>
        <w:trPr/>
        <w:tc>
          <w:tcPr>
            <w:tcW w:type="dxa" w:w="2771"/>
          </w:tcPr>
          <w:p>
            <w:pPr>
              <w:spacing w:after="0" w:before="0"/>
            </w:pPr>
            <w:r>
              <w:rPr>
                <w:rFonts w:ascii="宋体" w:hAnsi="宋体" w:eastAsia="宋体"/>
                <w:sz w:val="17"/>
              </w:rPr>
              <w:t>项目13 任务13.3</w:t>
            </w:r>
          </w:p>
        </w:tc>
        <w:tc>
          <w:tcPr>
            <w:tcW w:type="dxa" w:w="2771"/>
          </w:tcPr>
          <w:p>
            <w:r>
              <w:t>《个人信息保护法》第4、6、51、73条；《数据安全法》第27条；《会计法》第14条；《会计基础工作规范》第48条第1项；《发票管理办法》第20条；附录补列增值税法、数电发票公告、个人所得税法及扣缴办法、企业与政府会计准则。</w:t>
            </w:r>
          </w:p>
        </w:tc>
        <w:tc>
          <w:tcPr>
            <w:tcW w:type="dxa" w:w="2771"/>
          </w:tcPr>
          <w:p>
            <w:r>
              <w:t>法规集中引用任务。匿名化定义对应个人信息保护法第73条第4项，去标识化对应第3项；附录索引已补列上述正文实质涉及的税收法规与会计准则，出版前仍须复核时效和适用范围。</w:t>
            </w:r>
          </w:p>
        </w:tc>
      </w:tr>
      <w:tr>
        <w:trPr/>
        <w:tc>
          <w:tcPr>
            <w:tcW w:type="dxa" w:w="2771"/>
          </w:tcPr>
          <w:p>
            <w:pPr>
              <w:spacing w:after="0" w:before="0"/>
            </w:pPr>
            <w:r>
              <w:rPr>
                <w:rFonts w:ascii="宋体" w:hAnsi="宋体" w:eastAsia="宋体"/>
                <w:sz w:val="17"/>
              </w:rPr>
              <w:t>项目14 任务14.1</w:t>
            </w:r>
          </w:p>
        </w:tc>
        <w:tc>
          <w:tcPr>
            <w:tcW w:type="dxa" w:w="2771"/>
          </w:tcPr>
          <w:p>
            <w:pPr>
              <w:spacing w:after="0" w:before="0"/>
            </w:pPr>
            <w:r>
              <w:rPr>
                <w:rFonts w:ascii="宋体" w:hAnsi="宋体" w:eastAsia="宋体"/>
                <w:sz w:val="17"/>
              </w:rPr>
              <w:t>《中华人民共和国个人信息保护法》第4、6、51条及《中华人民共和国数据安全法》第27条（通过任务13.3交叉引用）；票据核验涉及会计法第14条、会计基础工作规范第48条第1项及发票管理办法第20条。</w:t>
            </w:r>
          </w:p>
        </w:tc>
        <w:tc>
          <w:tcPr>
            <w:tcW w:type="dxa" w:w="2771"/>
          </w:tcPr>
          <w:p>
            <w:pPr>
              <w:spacing w:after="0" w:before="0"/>
            </w:pPr>
            <w:r>
              <w:rPr>
                <w:rFonts w:ascii="宋体" w:hAnsi="宋体" w:eastAsia="宋体"/>
                <w:sz w:val="17"/>
              </w:rPr>
              <w:t>提交材料前核实处理依据与权限、遵循最小必要、脱敏或使用模拟数据；当前不在任务14.1重复列法规。</w:t>
            </w:r>
          </w:p>
        </w:tc>
      </w:tr>
      <w:tr>
        <w:trPr/>
        <w:tc>
          <w:tcPr>
            <w:tcW w:type="dxa" w:w="2771"/>
          </w:tcPr>
          <w:p>
            <w:pPr>
              <w:spacing w:after="0" w:before="0"/>
            </w:pPr>
            <w:r>
              <w:rPr>
                <w:rFonts w:ascii="宋体" w:hAnsi="宋体" w:eastAsia="宋体"/>
                <w:sz w:val="17"/>
              </w:rPr>
              <w:t>项目14 任务14.2</w:t>
            </w:r>
          </w:p>
        </w:tc>
        <w:tc>
          <w:tcPr>
            <w:tcW w:type="dxa" w:w="2771"/>
          </w:tcPr>
          <w:p>
            <w:pPr>
              <w:spacing w:after="0" w:before="0"/>
            </w:pPr>
            <w:r>
              <w:rPr>
                <w:rFonts w:ascii="宋体" w:hAnsi="宋体" w:eastAsia="宋体"/>
                <w:sz w:val="17"/>
              </w:rPr>
              <w:t>企业会计准则仅在题设涉及收入确认、存货或固定资产事项时适用（参见项目5、6对应条目）。</w:t>
            </w:r>
          </w:p>
        </w:tc>
        <w:tc>
          <w:tcPr>
            <w:tcW w:type="dxa" w:w="2771"/>
          </w:tcPr>
          <w:p>
            <w:pPr>
              <w:spacing w:after="0" w:before="0"/>
            </w:pPr>
            <w:r>
              <w:rPr>
                <w:rFonts w:ascii="宋体" w:hAnsi="宋体" w:eastAsia="宋体"/>
                <w:sz w:val="17"/>
              </w:rPr>
              <w:t>综合核算沿用各来源项目口径；不得把社团结余等同企业利润。</w:t>
            </w:r>
          </w:p>
        </w:tc>
      </w:tr>
      <w:tr>
        <w:trPr/>
        <w:tc>
          <w:tcPr>
            <w:tcW w:type="dxa" w:w="2771"/>
          </w:tcPr>
          <w:p>
            <w:pPr>
              <w:spacing w:after="0" w:before="0"/>
            </w:pPr>
            <w:r>
              <w:rPr>
                <w:rFonts w:ascii="宋体" w:hAnsi="宋体" w:eastAsia="宋体"/>
                <w:sz w:val="17"/>
              </w:rPr>
              <w:t>项目14 任务14.3</w:t>
            </w:r>
          </w:p>
        </w:tc>
        <w:tc>
          <w:tcPr>
            <w:tcW w:type="dxa" w:w="2771"/>
          </w:tcPr>
          <w:p>
            <w:pPr>
              <w:spacing w:after="0" w:before="0"/>
            </w:pPr>
            <w:r>
              <w:rPr>
                <w:rFonts w:ascii="宋体" w:hAnsi="宋体" w:eastAsia="宋体"/>
                <w:sz w:val="17"/>
              </w:rPr>
              <w:t>未发现新增特定法规引用。</w:t>
            </w:r>
          </w:p>
        </w:tc>
        <w:tc>
          <w:tcPr>
            <w:tcW w:type="dxa" w:w="2771"/>
          </w:tcPr>
          <w:p>
            <w:pPr>
              <w:spacing w:after="0" w:before="0"/>
            </w:pPr>
            <w:r>
              <w:rPr>
                <w:rFonts w:ascii="宋体" w:hAnsi="宋体" w:eastAsia="宋体"/>
                <w:sz w:val="17"/>
              </w:rPr>
              <w:t>综合分析复用既定口径。</w:t>
            </w:r>
          </w:p>
        </w:tc>
      </w:tr>
      <w:tr>
        <w:trPr/>
        <w:tc>
          <w:tcPr>
            <w:tcW w:type="dxa" w:w="2771"/>
          </w:tcPr>
          <w:p>
            <w:pPr>
              <w:spacing w:after="0" w:before="0"/>
            </w:pPr>
            <w:r>
              <w:rPr>
                <w:rFonts w:ascii="宋体" w:hAnsi="宋体" w:eastAsia="宋体"/>
                <w:sz w:val="17"/>
              </w:rPr>
              <w:t>项目14 任务14.4</w:t>
            </w:r>
          </w:p>
        </w:tc>
        <w:tc>
          <w:tcPr>
            <w:tcW w:type="dxa" w:w="2771"/>
          </w:tcPr>
          <w:p>
            <w:pPr>
              <w:spacing w:after="0" w:before="0"/>
            </w:pPr>
            <w:r>
              <w:rPr>
                <w:rFonts w:ascii="宋体" w:hAnsi="宋体" w:eastAsia="宋体"/>
                <w:sz w:val="17"/>
              </w:rPr>
              <w:t>个人信息/业务数据送入AI时，条件适用《个人信息保护法》及《数据安全法》，操作前置要求见任务14.1。</w:t>
            </w:r>
          </w:p>
        </w:tc>
        <w:tc>
          <w:tcPr>
            <w:tcW w:type="dxa" w:w="2771"/>
          </w:tcPr>
          <w:p>
            <w:pPr>
              <w:spacing w:after="0" w:before="0"/>
            </w:pPr>
            <w:r>
              <w:rPr>
                <w:rFonts w:ascii="宋体" w:hAnsi="宋体" w:eastAsia="宋体"/>
                <w:sz w:val="17"/>
              </w:rPr>
              <w:t>AI辅助、复核与复盘；不代表可以上传真实敏感材料。</w:t>
            </w:r>
          </w:p>
        </w:tc>
      </w:tr>
    </w:tbl>
    <w:p>
      <w:r>
        <w:t>编者内部官方核验入口（不直接刊入书稿）</w:t>
      </w:r>
    </w:p>
    <w:tbl>
      <w:tblPr>
        <w:tblStyle w:val="TableGrid"/>
        <w:tblW w:type="auto" w:w="0"/>
        <w:tblLook w:firstColumn="1" w:firstRow="1" w:lastColumn="0" w:lastRow="0" w:noHBand="0" w:noVBand="1" w:val="04A0"/>
      </w:tblPr>
      <w:tblGrid>
        <w:gridCol w:w="2771"/>
        <w:gridCol w:w="2771"/>
        <w:gridCol w:w="2771"/>
      </w:tblGrid>
      <w:tr>
        <w:trPr>
          <w:tblHeader w:val="true"/>
        </w:trPr>
        <w:tc>
          <w:tcPr>
            <w:tcW w:type="dxa" w:w="2771"/>
          </w:tcPr>
          <w:p>
            <w:pPr>
              <w:spacing w:after="0" w:before="0"/>
            </w:pPr>
            <w:r>
              <w:rPr>
                <w:rFonts w:ascii="宋体" w:hAnsi="宋体" w:eastAsia="宋体"/>
                <w:sz w:val="16"/>
              </w:rPr>
              <w:t>文件名称</w:t>
            </w:r>
          </w:p>
        </w:tc>
        <w:tc>
          <w:tcPr>
            <w:tcW w:type="dxa" w:w="2771"/>
          </w:tcPr>
          <w:p>
            <w:pPr>
              <w:spacing w:after="0" w:before="0"/>
            </w:pPr>
            <w:r>
              <w:rPr>
                <w:rFonts w:ascii="宋体" w:hAnsi="宋体" w:eastAsia="宋体"/>
                <w:sz w:val="16"/>
              </w:rPr>
              <w:t>涉及条文/状态</w:t>
            </w:r>
          </w:p>
        </w:tc>
        <w:tc>
          <w:tcPr>
            <w:tcW w:type="dxa" w:w="2771"/>
          </w:tcPr>
          <w:p>
            <w:pPr>
              <w:spacing w:after="0" w:before="0"/>
            </w:pPr>
            <w:r>
              <w:rPr>
                <w:rFonts w:ascii="宋体" w:hAnsi="宋体" w:eastAsia="宋体"/>
                <w:sz w:val="16"/>
              </w:rPr>
              <w:t>官方来源</w:t>
            </w:r>
          </w:p>
        </w:tc>
      </w:tr>
      <w:tr>
        <w:trPr/>
        <w:tc>
          <w:tcPr>
            <w:tcW w:type="dxa" w:w="2771"/>
          </w:tcPr>
          <w:p>
            <w:pPr>
              <w:spacing w:after="0" w:before="0"/>
            </w:pPr>
            <w:r>
              <w:rPr>
                <w:rFonts w:ascii="宋体" w:hAnsi="宋体" w:eastAsia="宋体"/>
                <w:sz w:val="16"/>
              </w:rPr>
              <w:t>个人信息保护法</w:t>
            </w:r>
          </w:p>
        </w:tc>
        <w:tc>
          <w:tcPr>
            <w:tcW w:type="dxa" w:w="2771"/>
          </w:tcPr>
          <w:p>
            <w:pPr>
              <w:spacing w:after="0" w:before="0"/>
            </w:pPr>
            <w:r>
              <w:rPr>
                <w:rFonts w:ascii="宋体" w:hAnsi="宋体" w:eastAsia="宋体"/>
                <w:sz w:val="16"/>
              </w:rPr>
              <w:t>第4、6、51、73条</w:t>
            </w:r>
          </w:p>
        </w:tc>
        <w:tc>
          <w:tcPr>
            <w:tcW w:type="dxa" w:w="2771"/>
          </w:tcPr>
          <w:p>
            <w:pPr>
              <w:spacing w:after="0" w:before="0"/>
            </w:pPr>
            <w:r>
              <w:rPr>
                <w:rFonts w:ascii="宋体" w:hAnsi="宋体" w:eastAsia="宋体"/>
                <w:sz w:val="16"/>
              </w:rPr>
              <w:t>http://www.npc.gov.cn/npc/c2/c30834/202108/t20210820_313088.html</w:t>
            </w:r>
          </w:p>
        </w:tc>
      </w:tr>
      <w:tr>
        <w:trPr/>
        <w:tc>
          <w:tcPr>
            <w:tcW w:type="dxa" w:w="2771"/>
          </w:tcPr>
          <w:p>
            <w:pPr>
              <w:spacing w:after="0" w:before="0"/>
            </w:pPr>
            <w:r>
              <w:rPr>
                <w:rFonts w:ascii="宋体" w:hAnsi="宋体" w:eastAsia="宋体"/>
                <w:sz w:val="16"/>
              </w:rPr>
              <w:t>数据安全法</w:t>
            </w:r>
          </w:p>
        </w:tc>
        <w:tc>
          <w:tcPr>
            <w:tcW w:type="dxa" w:w="2771"/>
          </w:tcPr>
          <w:p>
            <w:pPr>
              <w:spacing w:after="0" w:before="0"/>
            </w:pPr>
            <w:r>
              <w:rPr>
                <w:rFonts w:ascii="宋体" w:hAnsi="宋体" w:eastAsia="宋体"/>
                <w:sz w:val="16"/>
              </w:rPr>
              <w:t>第27条</w:t>
            </w:r>
          </w:p>
        </w:tc>
        <w:tc>
          <w:tcPr>
            <w:tcW w:type="dxa" w:w="2771"/>
          </w:tcPr>
          <w:p>
            <w:pPr>
              <w:spacing w:after="0" w:before="0"/>
            </w:pPr>
            <w:r>
              <w:rPr>
                <w:rFonts w:ascii="宋体" w:hAnsi="宋体" w:eastAsia="宋体"/>
                <w:sz w:val="16"/>
              </w:rPr>
              <w:t>http://www.npc.gov.cn/npc/c2/c30834/202106/t20210610_311888.html</w:t>
            </w:r>
          </w:p>
        </w:tc>
      </w:tr>
      <w:tr>
        <w:trPr/>
        <w:tc>
          <w:tcPr>
            <w:tcW w:type="dxa" w:w="2771"/>
          </w:tcPr>
          <w:p>
            <w:pPr>
              <w:spacing w:after="0" w:before="0"/>
            </w:pPr>
            <w:r>
              <w:rPr>
                <w:rFonts w:ascii="宋体" w:hAnsi="宋体" w:eastAsia="宋体"/>
                <w:sz w:val="16"/>
              </w:rPr>
              <w:t>会计法（2024年修改）</w:t>
            </w:r>
          </w:p>
        </w:tc>
        <w:tc>
          <w:tcPr>
            <w:tcW w:type="dxa" w:w="2771"/>
          </w:tcPr>
          <w:p>
            <w:pPr>
              <w:spacing w:after="0" w:before="0"/>
            </w:pPr>
            <w:r>
              <w:rPr>
                <w:rFonts w:ascii="宋体" w:hAnsi="宋体" w:eastAsia="宋体"/>
                <w:sz w:val="16"/>
              </w:rPr>
              <w:t>第14条；2024-07-01施行</w:t>
            </w:r>
          </w:p>
        </w:tc>
        <w:tc>
          <w:tcPr>
            <w:tcW w:type="dxa" w:w="2771"/>
          </w:tcPr>
          <w:p>
            <w:pPr>
              <w:spacing w:after="0" w:before="0"/>
            </w:pPr>
            <w:r>
              <w:rPr>
                <w:rFonts w:ascii="宋体" w:hAnsi="宋体" w:eastAsia="宋体"/>
                <w:sz w:val="16"/>
              </w:rPr>
              <w:t>http://www.npc.gov.cn/npc/c2/c30834/202406/t20240628_437897.html</w:t>
            </w:r>
          </w:p>
        </w:tc>
      </w:tr>
      <w:tr>
        <w:trPr/>
        <w:tc>
          <w:tcPr>
            <w:tcW w:type="dxa" w:w="2771"/>
          </w:tcPr>
          <w:p>
            <w:pPr>
              <w:spacing w:after="0" w:before="0"/>
            </w:pPr>
            <w:r>
              <w:rPr>
                <w:rFonts w:ascii="宋体" w:hAnsi="宋体" w:eastAsia="宋体"/>
                <w:sz w:val="16"/>
              </w:rPr>
              <w:t>会计基础工作规范</w:t>
            </w:r>
          </w:p>
        </w:tc>
        <w:tc>
          <w:tcPr>
            <w:tcW w:type="dxa" w:w="2771"/>
          </w:tcPr>
          <w:p>
            <w:pPr>
              <w:spacing w:after="0" w:before="0"/>
            </w:pPr>
            <w:r>
              <w:rPr>
                <w:rFonts w:ascii="宋体" w:hAnsi="宋体" w:eastAsia="宋体"/>
                <w:sz w:val="16"/>
              </w:rPr>
              <w:t>第48条第1项；2019修改文本；出版前核实修订进展</w:t>
            </w:r>
          </w:p>
        </w:tc>
        <w:tc>
          <w:tcPr>
            <w:tcW w:type="dxa" w:w="2771"/>
          </w:tcPr>
          <w:p>
            <w:pPr>
              <w:spacing w:after="0" w:before="0"/>
            </w:pPr>
            <w:r>
              <w:rPr>
                <w:rFonts w:ascii="宋体" w:hAnsi="宋体" w:eastAsia="宋体"/>
                <w:sz w:val="16"/>
              </w:rPr>
              <w:t>https://jdjc.mof.gov.cn/fgzd/202204/t20220419_3803834.htm</w:t>
            </w:r>
          </w:p>
        </w:tc>
      </w:tr>
      <w:tr>
        <w:trPr/>
        <w:tc>
          <w:tcPr>
            <w:tcW w:type="dxa" w:w="2771"/>
          </w:tcPr>
          <w:p>
            <w:pPr>
              <w:spacing w:after="0" w:before="0"/>
            </w:pPr>
            <w:r>
              <w:rPr>
                <w:rFonts w:ascii="宋体" w:hAnsi="宋体" w:eastAsia="宋体"/>
                <w:sz w:val="16"/>
              </w:rPr>
              <w:t>发票管理办法</w:t>
            </w:r>
          </w:p>
        </w:tc>
        <w:tc>
          <w:tcPr>
            <w:tcW w:type="dxa" w:w="2771"/>
          </w:tcPr>
          <w:p>
            <w:pPr>
              <w:spacing w:after="0" w:before="0"/>
            </w:pPr>
            <w:r>
              <w:rPr>
                <w:rFonts w:ascii="宋体" w:hAnsi="宋体" w:eastAsia="宋体"/>
                <w:sz w:val="16"/>
              </w:rPr>
              <w:t>第20条；国务院令第764号</w:t>
            </w:r>
          </w:p>
        </w:tc>
        <w:tc>
          <w:tcPr>
            <w:tcW w:type="dxa" w:w="2771"/>
          </w:tcPr>
          <w:p>
            <w:pPr>
              <w:spacing w:after="0" w:before="0"/>
            </w:pPr>
            <w:r>
              <w:rPr>
                <w:rFonts w:ascii="宋体" w:hAnsi="宋体" w:eastAsia="宋体"/>
                <w:sz w:val="16"/>
              </w:rPr>
              <w:t>https://fgk.chinatax.gov.cn/zcfgk/c100010/c5195084/content.html</w:t>
            </w:r>
          </w:p>
        </w:tc>
      </w:tr>
      <w:tr>
        <w:trPr/>
        <w:tc>
          <w:tcPr>
            <w:tcW w:type="dxa" w:w="2771"/>
          </w:tcPr>
          <w:p>
            <w:pPr>
              <w:spacing w:after="0" w:before="0"/>
            </w:pPr>
            <w:r>
              <w:rPr>
                <w:rFonts w:ascii="宋体" w:hAnsi="宋体" w:eastAsia="宋体"/>
                <w:sz w:val="16"/>
              </w:rPr>
              <w:t>增值税法</w:t>
            </w:r>
          </w:p>
        </w:tc>
        <w:tc>
          <w:tcPr>
            <w:tcW w:type="dxa" w:w="2771"/>
          </w:tcPr>
          <w:p>
            <w:pPr>
              <w:spacing w:after="0" w:before="0"/>
            </w:pPr>
            <w:r>
              <w:rPr>
                <w:rFonts w:ascii="宋体" w:hAnsi="宋体" w:eastAsia="宋体"/>
                <w:sz w:val="16"/>
              </w:rPr>
              <w:t>第10条第1项、第38条；2026-01-01施行</w:t>
            </w:r>
          </w:p>
        </w:tc>
        <w:tc>
          <w:tcPr>
            <w:tcW w:type="dxa" w:w="2771"/>
          </w:tcPr>
          <w:p>
            <w:pPr>
              <w:spacing w:after="0" w:before="0"/>
            </w:pPr>
            <w:r>
              <w:rPr>
                <w:rFonts w:ascii="宋体" w:hAnsi="宋体" w:eastAsia="宋体"/>
                <w:sz w:val="16"/>
              </w:rPr>
              <w:t>http://www.npc.gov.cn/npc/c2/c30834/202412/t20241225_442038.html</w:t>
            </w:r>
          </w:p>
        </w:tc>
      </w:tr>
      <w:tr>
        <w:trPr/>
        <w:tc>
          <w:tcPr>
            <w:tcW w:type="dxa" w:w="2771"/>
          </w:tcPr>
          <w:p>
            <w:pPr>
              <w:spacing w:after="0" w:before="0"/>
            </w:pPr>
            <w:r>
              <w:rPr>
                <w:rFonts w:ascii="宋体" w:hAnsi="宋体" w:eastAsia="宋体"/>
                <w:sz w:val="16"/>
              </w:rPr>
              <w:t>国家税务总局公告2024年第11号</w:t>
            </w:r>
          </w:p>
        </w:tc>
        <w:tc>
          <w:tcPr>
            <w:tcW w:type="dxa" w:w="2771"/>
          </w:tcPr>
          <w:p>
            <w:pPr>
              <w:spacing w:after="0" w:before="0"/>
            </w:pPr>
            <w:r>
              <w:rPr>
                <w:rFonts w:ascii="宋体" w:hAnsi="宋体" w:eastAsia="宋体"/>
                <w:sz w:val="16"/>
              </w:rPr>
              <w:t>数电发票第4、11项；2024-12-01施行</w:t>
            </w:r>
          </w:p>
        </w:tc>
        <w:tc>
          <w:tcPr>
            <w:tcW w:type="dxa" w:w="2771"/>
          </w:tcPr>
          <w:p>
            <w:pPr>
              <w:spacing w:after="0" w:before="0"/>
            </w:pPr>
            <w:r>
              <w:rPr>
                <w:rFonts w:ascii="宋体" w:hAnsi="宋体" w:eastAsia="宋体"/>
                <w:sz w:val="16"/>
              </w:rPr>
              <w:t>https://fgk.chinatax.gov.cn/zcfgk/c100012/c5236067/content.html</w:t>
            </w:r>
          </w:p>
        </w:tc>
      </w:tr>
      <w:tr>
        <w:trPr/>
        <w:tc>
          <w:tcPr>
            <w:tcW w:type="dxa" w:w="2771"/>
          </w:tcPr>
          <w:p>
            <w:pPr>
              <w:spacing w:after="0" w:before="0"/>
            </w:pPr>
            <w:r>
              <w:rPr>
                <w:rFonts w:ascii="宋体" w:hAnsi="宋体" w:eastAsia="宋体"/>
                <w:sz w:val="16"/>
              </w:rPr>
              <w:t>个人所得税法</w:t>
            </w:r>
          </w:p>
        </w:tc>
        <w:tc>
          <w:tcPr>
            <w:tcW w:type="dxa" w:w="2771"/>
          </w:tcPr>
          <w:p>
            <w:pPr>
              <w:spacing w:after="0" w:before="0"/>
            </w:pPr>
            <w:r>
              <w:rPr>
                <w:rFonts w:ascii="宋体" w:hAnsi="宋体" w:eastAsia="宋体"/>
                <w:sz w:val="16"/>
              </w:rPr>
              <w:t>第6、11条</w:t>
            </w:r>
          </w:p>
        </w:tc>
        <w:tc>
          <w:tcPr>
            <w:tcW w:type="dxa" w:w="2771"/>
          </w:tcPr>
          <w:p>
            <w:pPr>
              <w:spacing w:after="0" w:before="0"/>
            </w:pPr>
            <w:r>
              <w:rPr>
                <w:rFonts w:ascii="宋体" w:hAnsi="宋体" w:eastAsia="宋体"/>
                <w:sz w:val="16"/>
              </w:rPr>
              <w:t>http://www.npc.gov.cn/zgrdw/npc/lfzt/rlyw/2018-09/05/content_2060813.htm</w:t>
            </w:r>
          </w:p>
        </w:tc>
      </w:tr>
      <w:tr>
        <w:trPr/>
        <w:tc>
          <w:tcPr>
            <w:tcW w:type="dxa" w:w="2771"/>
          </w:tcPr>
          <w:p>
            <w:pPr>
              <w:spacing w:after="0" w:before="0"/>
            </w:pPr>
            <w:r>
              <w:rPr>
                <w:rFonts w:ascii="宋体" w:hAnsi="宋体" w:eastAsia="宋体"/>
                <w:sz w:val="16"/>
              </w:rPr>
              <w:t>个人所得税扣缴申报管理办法（试行）</w:t>
            </w:r>
          </w:p>
        </w:tc>
        <w:tc>
          <w:tcPr>
            <w:tcW w:type="dxa" w:w="2771"/>
          </w:tcPr>
          <w:p>
            <w:pPr>
              <w:spacing w:after="0" w:before="0"/>
            </w:pPr>
            <w:r>
              <w:rPr>
                <w:rFonts w:ascii="宋体" w:hAnsi="宋体" w:eastAsia="宋体"/>
                <w:sz w:val="16"/>
              </w:rPr>
              <w:t>国家税务总局公告2018年第61号，第6、7条</w:t>
            </w:r>
          </w:p>
        </w:tc>
        <w:tc>
          <w:tcPr>
            <w:tcW w:type="dxa" w:w="2771"/>
          </w:tcPr>
          <w:p>
            <w:pPr>
              <w:spacing w:after="0" w:before="0"/>
            </w:pPr>
            <w:r>
              <w:rPr>
                <w:rFonts w:ascii="宋体" w:hAnsi="宋体" w:eastAsia="宋体"/>
                <w:sz w:val="16"/>
              </w:rPr>
              <w:t>https://fgk.chinatax.gov.cn/zcfgk/c100012/c5194838/content.html</w:t>
            </w:r>
          </w:p>
        </w:tc>
      </w:tr>
      <w:tr>
        <w:trPr/>
        <w:tc>
          <w:tcPr>
            <w:tcW w:type="dxa" w:w="2771"/>
          </w:tcPr>
          <w:p>
            <w:pPr>
              <w:spacing w:after="0" w:before="0"/>
            </w:pPr>
            <w:r>
              <w:rPr>
                <w:rFonts w:ascii="宋体" w:hAnsi="宋体" w:eastAsia="宋体"/>
                <w:sz w:val="16"/>
              </w:rPr>
              <w:t>企业会计准则——基本准则</w:t>
            </w:r>
          </w:p>
        </w:tc>
        <w:tc>
          <w:tcPr>
            <w:tcW w:type="dxa" w:w="2771"/>
          </w:tcPr>
          <w:p>
            <w:pPr>
              <w:spacing w:after="0" w:before="0"/>
            </w:pPr>
            <w:r>
              <w:rPr>
                <w:rFonts w:ascii="宋体" w:hAnsi="宋体" w:eastAsia="宋体"/>
                <w:sz w:val="16"/>
              </w:rPr>
              <w:t>第9条；财政部令第33号，2014年修改</w:t>
            </w:r>
          </w:p>
        </w:tc>
        <w:tc>
          <w:tcPr>
            <w:tcW w:type="dxa" w:w="2771"/>
          </w:tcPr>
          <w:p>
            <w:pPr>
              <w:spacing w:after="0" w:before="0"/>
            </w:pPr>
            <w:r>
              <w:rPr>
                <w:rFonts w:ascii="宋体" w:hAnsi="宋体" w:eastAsia="宋体"/>
                <w:sz w:val="16"/>
              </w:rPr>
              <w:t>http://tfs.mof.gov.cn/caizhengbuling/201407/t20140729_1119494.htm</w:t>
            </w:r>
          </w:p>
        </w:tc>
      </w:tr>
      <w:tr>
        <w:trPr/>
        <w:tc>
          <w:tcPr>
            <w:tcW w:type="dxa" w:w="2771"/>
          </w:tcPr>
          <w:p>
            <w:pPr>
              <w:spacing w:after="0" w:before="0"/>
            </w:pPr>
            <w:r>
              <w:rPr>
                <w:rFonts w:ascii="宋体" w:hAnsi="宋体" w:eastAsia="宋体"/>
                <w:sz w:val="16"/>
              </w:rPr>
              <w:t>政府会计准则——基本准则</w:t>
            </w:r>
          </w:p>
        </w:tc>
        <w:tc>
          <w:tcPr>
            <w:tcW w:type="dxa" w:w="2771"/>
          </w:tcPr>
          <w:p>
            <w:pPr>
              <w:spacing w:after="0" w:before="0"/>
            </w:pPr>
            <w:r>
              <w:rPr>
                <w:rFonts w:ascii="宋体" w:hAnsi="宋体" w:eastAsia="宋体"/>
                <w:sz w:val="16"/>
              </w:rPr>
              <w:t>第3条；财政部令第78号</w:t>
            </w:r>
          </w:p>
        </w:tc>
        <w:tc>
          <w:tcPr>
            <w:tcW w:type="dxa" w:w="2771"/>
          </w:tcPr>
          <w:p>
            <w:pPr>
              <w:spacing w:after="0" w:before="0"/>
            </w:pPr>
            <w:r>
              <w:rPr>
                <w:rFonts w:ascii="宋体" w:hAnsi="宋体" w:eastAsia="宋体"/>
                <w:sz w:val="16"/>
              </w:rPr>
              <w:t>http://kjs.mof.gov.cn/zt/zfkjzz/zfkjzz/201902/t20190219_3173678.htm</w:t>
            </w:r>
          </w:p>
        </w:tc>
      </w:tr>
      <w:tr>
        <w:trPr/>
        <w:tc>
          <w:tcPr>
            <w:tcW w:type="dxa" w:w="2771"/>
          </w:tcPr>
          <w:p>
            <w:pPr>
              <w:spacing w:after="0" w:before="0"/>
            </w:pPr>
            <w:r>
              <w:rPr>
                <w:rFonts w:ascii="宋体" w:hAnsi="宋体" w:eastAsia="宋体"/>
                <w:sz w:val="16"/>
              </w:rPr>
              <w:t>企业会计准则第1号——存货</w:t>
            </w:r>
          </w:p>
        </w:tc>
        <w:tc>
          <w:tcPr>
            <w:tcW w:type="dxa" w:w="2771"/>
          </w:tcPr>
          <w:p>
            <w:pPr>
              <w:spacing w:after="0" w:before="0"/>
            </w:pPr>
            <w:r>
              <w:rPr>
                <w:rFonts w:ascii="宋体" w:hAnsi="宋体" w:eastAsia="宋体"/>
                <w:sz w:val="16"/>
              </w:rPr>
              <w:t>第14条</w:t>
            </w:r>
          </w:p>
        </w:tc>
        <w:tc>
          <w:tcPr>
            <w:tcW w:type="dxa" w:w="2771"/>
          </w:tcPr>
          <w:p>
            <w:pPr>
              <w:spacing w:after="0" w:before="0"/>
            </w:pPr>
            <w:r>
              <w:rPr>
                <w:rFonts w:ascii="宋体" w:hAnsi="宋体" w:eastAsia="宋体"/>
                <w:sz w:val="16"/>
              </w:rPr>
              <w:t>http://kjs.mof.gov.cn/zt/kjzzss/kuaijizhunzeshishi/200806/t20080618_46216.htm</w:t>
            </w:r>
          </w:p>
        </w:tc>
      </w:tr>
      <w:tr>
        <w:trPr/>
        <w:tc>
          <w:tcPr>
            <w:tcW w:type="dxa" w:w="2771"/>
          </w:tcPr>
          <w:p>
            <w:pPr>
              <w:spacing w:after="0" w:before="0"/>
            </w:pPr>
            <w:r>
              <w:rPr>
                <w:rFonts w:ascii="宋体" w:hAnsi="宋体" w:eastAsia="宋体"/>
                <w:sz w:val="16"/>
              </w:rPr>
              <w:t>企业会计准则第4号——固定资产</w:t>
            </w:r>
          </w:p>
        </w:tc>
        <w:tc>
          <w:tcPr>
            <w:tcW w:type="dxa" w:w="2771"/>
          </w:tcPr>
          <w:p>
            <w:pPr>
              <w:spacing w:after="0" w:before="0"/>
            </w:pPr>
            <w:r>
              <w:rPr>
                <w:rFonts w:ascii="宋体" w:hAnsi="宋体" w:eastAsia="宋体"/>
                <w:sz w:val="16"/>
              </w:rPr>
              <w:t>第3、4、8、14—19条</w:t>
            </w:r>
          </w:p>
        </w:tc>
        <w:tc>
          <w:tcPr>
            <w:tcW w:type="dxa" w:w="2771"/>
          </w:tcPr>
          <w:p>
            <w:pPr>
              <w:spacing w:after="0" w:before="0"/>
            </w:pPr>
            <w:r>
              <w:rPr>
                <w:rFonts w:ascii="宋体" w:hAnsi="宋体" w:eastAsia="宋体"/>
                <w:sz w:val="16"/>
              </w:rPr>
              <w:t>https://www.mof.gov.cn/zhengwuxinxi/zhengcefabu/2006zcfb/200805/t20080519_23104.htm</w:t>
            </w:r>
          </w:p>
        </w:tc>
      </w:tr>
      <w:tr>
        <w:trPr/>
        <w:tc>
          <w:tcPr>
            <w:tcW w:type="dxa" w:w="2771"/>
          </w:tcPr>
          <w:p>
            <w:pPr>
              <w:spacing w:after="0" w:before="0"/>
            </w:pPr>
            <w:r>
              <w:rPr>
                <w:rFonts w:ascii="宋体" w:hAnsi="宋体" w:eastAsia="宋体"/>
                <w:sz w:val="16"/>
              </w:rPr>
              <w:t>企业会计准则第14号——收入</w:t>
            </w:r>
          </w:p>
        </w:tc>
        <w:tc>
          <w:tcPr>
            <w:tcW w:type="dxa" w:w="2771"/>
          </w:tcPr>
          <w:p>
            <w:pPr>
              <w:spacing w:after="0" w:before="0"/>
            </w:pPr>
            <w:r>
              <w:rPr>
                <w:rFonts w:ascii="宋体" w:hAnsi="宋体" w:eastAsia="宋体"/>
                <w:sz w:val="16"/>
              </w:rPr>
              <w:t>第4、5条</w:t>
            </w:r>
          </w:p>
        </w:tc>
        <w:tc>
          <w:tcPr>
            <w:tcW w:type="dxa" w:w="2771"/>
          </w:tcPr>
          <w:p>
            <w:pPr>
              <w:spacing w:after="0" w:before="0"/>
            </w:pPr>
            <w:r>
              <w:rPr>
                <w:rFonts w:ascii="宋体" w:hAnsi="宋体" w:eastAsia="宋体"/>
                <w:sz w:val="16"/>
              </w:rPr>
              <w:t>https://kjs.mof.gov.cn/zt/kjzzss/kuaijizhunzeshishi/201709/t20170907_2694006.htm</w:t>
            </w:r>
          </w:p>
        </w:tc>
      </w:tr>
      <w:tr>
        <w:trPr/>
        <w:tc>
          <w:tcPr>
            <w:tcW w:type="dxa" w:w="2771"/>
          </w:tcPr>
          <w:p>
            <w:pPr>
              <w:spacing w:after="0" w:before="0"/>
            </w:pPr>
            <w:r>
              <w:rPr>
                <w:rFonts w:ascii="宋体" w:hAnsi="宋体" w:eastAsia="宋体"/>
                <w:sz w:val="16"/>
              </w:rPr>
              <w:t>学生实习/工资薪金适用口径官方问答（解释材料，非法律条文）</w:t>
            </w:r>
          </w:p>
        </w:tc>
        <w:tc>
          <w:tcPr>
            <w:tcW w:type="dxa" w:w="2771"/>
          </w:tcPr>
          <w:p>
            <w:pPr>
              <w:spacing w:after="0" w:before="0"/>
            </w:pPr>
            <w:r>
              <w:rPr>
                <w:rFonts w:ascii="宋体" w:hAnsi="宋体" w:eastAsia="宋体"/>
                <w:sz w:val="16"/>
              </w:rPr>
              <w:t>项目7任务7.1适用；需出版前再核时效</w:t>
            </w:r>
          </w:p>
        </w:tc>
        <w:tc>
          <w:tcPr>
            <w:tcW w:type="dxa" w:w="2771"/>
          </w:tcPr>
          <w:p>
            <w:pPr>
              <w:spacing w:after="0" w:before="0"/>
            </w:pPr>
            <w:r>
              <w:rPr>
                <w:rFonts w:ascii="宋体" w:hAnsi="宋体" w:eastAsia="宋体"/>
                <w:sz w:val="16"/>
              </w:rPr>
              <w:t>https://guangxi.chinatax.gov.cn/nsfw/nszx/rdwd/202607/t20260729_437275.html</w:t>
            </w:r>
          </w:p>
        </w:tc>
      </w:tr>
    </w:tbl>
    <w:p>
      <w:r>
        <w:t>法规清单维护说明：法律法规与标准以官方最新文本为准。征求意见稿和年度立法计划不是已生效规范；截至本规则编写日，财政部2025年《会计基础工作规范》文本为征求意见稿，2026年度立法工作安排仍将其列入研究制定、修改，出版前需再次核查。数电发票公告和增值税法适用范围按各自生效日期及题设交易类型判断。</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