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>点题：规范是有层次的，遵守规范的第一步，是知道哪些规范与自己有关。主动查询、主动说明，既是对规则的尊重，也是对团队与公众的负责。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内容标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图12-3　小何为展览海报添加内容标识（卡通示意）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jc w:val="center"/>
      </w:pPr>
      <w:r>
        <w:rPr>
          <w:b/>
          <w:sz w:val="21"/>
        </w:rPr>
        <w:t>表12-4　深度伪造的三类危害与使用者的应对（示例）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危害方向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使用者应当怎样做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侵害个人权益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将他人的面容或声音用于制造虚假言论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不制作、不转发未经本人同意的形象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用于诈骗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冒充亲友的声音要求转账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涉及转账时，通过其他渠道核实对方身份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扩散虚假信息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使真实事件与虚构内容难以区分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转发前先核查来源，不把证据不足的内容当作事实</w:t>
            </w:r>
          </w:p>
        </w:tc>
      </w:tr>
    </w:tbl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-5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对来源不明的音视频与图片的基本核查流程（示意）</w:t>
      </w:r>
    </w:p>
    <w:p>
      <w:pPr>
        <w:ind w:firstLine="420"/>
      </w:pPr>
      <w:r>
        <w:t>表12-5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表12-5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>点题：转发也是一种发布。面对来源不明的内容，先核查、再转发，是每一位使用者都应当承担的基本责任，也是维护信息环境的一种方式。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【练习】请找一张来源不明的图片，按照表12-5的线索进行核查，并写出你的结论以及结论所依据的证据和局限。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-6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真实性与授权核对的讨论，同样提醒我们，生成结果并不等于客观的记录，也可能偏离事实或侵犯他人的权益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第十条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>点题：AI的结论会继承数据中的不公正。承认偏见的存在，并通过检验与人工复核加以修正，是技术应用中不可缺少的伦理责任。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-6列出了一份完整的AI使用声明通常应当包括的要素。</w:t>
      </w:r>
    </w:p>
    <w:p>
      <w:pPr>
        <w:jc w:val="center"/>
      </w:pPr>
      <w:r>
        <w:rPr>
          <w:b/>
          <w:sz w:val="21"/>
        </w:rPr>
        <w:t>表12-6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>较好的声明应当对照表12-6的要素逐项写出：工具名称与版本、使用的环节、AI输出如何被修改与核实，以及作者独立完成的部分。声明不需要很长，但应当使读者能够据此判断作品的形成过程。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【练习】请为你最近完成的一份作业或报告，写一份AI使用声明，按照表12-6的要素逐项填写，并检查声明与实际过程是否一致。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实训可以按照图12-7所示的流程进行。与前面的实训一样，这一顺序不宜颠倒。若先写规范、后梳理场景，常见的结果是规范与实际使用脱节，无法真正指导行为。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个人AI使用规范实训的主要流程（示意）</w:t>
      </w:r>
    </w:p>
    <w:p>
      <w:pPr>
        <w:ind w:firstLine="420"/>
      </w:pPr>
      <w:r>
        <w:t>实训的评价可以参考表12-7所示的量规。评价重点关注规范是否针对具体场景、要求是否可以执行、是否有证据表明规范得到了实际运用，以及说明是否如实。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>点题：伦理原则只有转化为可以执行的规则，才能真正发挥作用。把原则落实到具体操作，是每一个使用者从“知道”走向“做到”的过程。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图12-8　本章结构</w:t>
      </w:r>
    </w:p>
    <w:p>
      <w:pPr>
        <w:ind w:firstLine="420"/>
      </w:pPr>
      <w:r>
        <w:t>图12-9概括了本章的主要知识点及其关系，可以作为复习时的索引。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图12-9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