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从AI大纲草稿到定稿页面的主要步骤（示意）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pPr>
        <w:ind w:firstLine="420"/>
      </w:pPr>
      <w:r>
        <w:t>【常见误区】有人认为，大纲越完整，汇报就越出色。但大纲只是结构，页面数量过多、每页内容过杂，反而会使听众难以抓住重点。另一种误区是相信AI生成的数据“应该是对的”，不加核对就放入页面。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使用AI插件时的数据流与检查要点（示意）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pPr>
        <w:jc w:val="center"/>
      </w:pPr>
      <w:r>
        <w:rPr>
          <w:b/>
          <w:sz w:val="21"/>
        </w:rPr>
        <w:t>表7-3　办公软件AI插件的类型与数据风险（示例）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提供内容的建议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文字润色与改写类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处理一段文字或段落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需要把全文或段落发送给服务方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只提供需要润色的段落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摘要与问答类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读取整篇文档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附注、批注和隐藏的列也可能被读取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使用前清除批注与隐藏内容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表格处理类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直接接触原始数据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风险最高，常含个人信息与未公开的数据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先脱敏，只提供必要的列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排版与设计类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调整样式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通常不需要读取具体内容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不提供正文内容</w:t>
            </w:r>
          </w:p>
        </w:tc>
      </w:tr>
    </w:tbl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pPr>
        <w:ind w:firstLine="420"/>
      </w:pPr>
      <w:r>
        <w:t>【常见误区】有人认为，插件是办公软件的一部分，因此使用是安全的。实际上，插件可能由第三方提供，其数据处理方式需要单独确认。另一种误区是觉得“只是整理一下格式”，不值得花时间检查数据去向。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模板与数据合并的主要环节（示意）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-4列出了一些常见的对应问题。</w:t>
      </w:r>
    </w:p>
    <w:p>
      <w:pPr>
        <w:jc w:val="center"/>
      </w:pPr>
      <w:r>
        <w:rPr>
          <w:b/>
          <w:sz w:val="21"/>
        </w:rPr>
        <w:t>表7-4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pPr>
        <w:ind w:firstLine="420"/>
      </w:pPr>
      <w:r>
        <w:t>【常见误区】有人认为，批量生成的文档只要模板没有问题，内容就一定正确。但数据错误同样会被批量复制。另一种误区是生成之后不做任何抽查，直接发出去。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汇报演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图7-5　小何在课堂上进行汇报（卡通示意）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-6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一场约十分钟汇报的各环节时长（示例数据）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-5给出了一种时间分配的参考。</w:t>
      </w:r>
    </w:p>
    <w:p>
      <w:pPr>
        <w:jc w:val="center"/>
      </w:pPr>
      <w:r>
        <w:rPr>
          <w:b/>
          <w:sz w:val="21"/>
        </w:rPr>
        <w:t>表7-5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图7-7给出了一场约十分钟汇报的时间分配示例。时间应当与各部分的重要性相匹配：本例把最多的时间留给了主要结果，这也是前文强调的节奏原则。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pPr>
        <w:ind w:firstLine="420"/>
      </w:pPr>
      <w:r>
        <w:t>【常见误区】有人认为，演示时间越长，内容就越充实。事实上，过长的汇报会使听众疲惫，重点也被淹没。另一种误区是把页面上的文字逐字念出，使演示变成了阅读。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-6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表7-6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汇报演示实训的主要流程（示意）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实训的评价可以参考表7-7所示的量规。评价不仅关注页面是否美观，更关注内容是否真实、过程是否可复核、表达是否有分寸。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-4），以及一份试讲计时表（表7-5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图7-10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