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r>
        <w:rPr>
          <w:b/>
        </w:rPr>
        <w:t>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-3列出了一些常见的对应问题。</w:t>
      </w:r>
    </w:p>
    <w:p>
      <w:pPr>
        <w:jc w:val="center"/>
      </w:pPr>
      <w:r>
        <w:rPr>
          <w:b/>
          <w:sz w:val="21"/>
        </w:rPr>
        <w:t>表7-3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r>
        <w:rPr>
          <w:b/>
        </w:rPr>
        <w:t>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-5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图7-5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-4给出了一种时间分配的参考。</w:t>
      </w:r>
    </w:p>
    <w:p>
      <w:pPr>
        <w:jc w:val="center"/>
      </w:pPr>
      <w:r>
        <w:rPr>
          <w:b/>
          <w:sz w:val="21"/>
        </w:rPr>
        <w:t>表7-4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r>
        <w:rPr>
          <w:b/>
        </w:rPr>
        <w:t>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-5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表7-5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实训的评价可以参考表7-6所示的量规。评价不仅关注页面是否美观，更关注内容是否真实、过程是否可复核、表达是否有分寸。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-3），以及一份试讲计时表（表7-4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