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pStyle w:val="Heading3"/>
      </w:pPr>
      <w:r>
        <w:t>10.1.1 智能体的工作方式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pStyle w:val="Heading3"/>
      </w:pPr>
      <w:r>
        <w:t>10.1.2 三类智能体与自主程度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ind w:firstLine="420"/>
      </w:pPr>
      <w:r>
        <w:t>判断某一智能体属于哪一类，关键看两点：它能调用多少种工具，以及它在没有人确认的情况下，能自行决定多少步骤。两者越高，类型越靠后，控制的难度也越大。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pPr>
        <w:pStyle w:val="Heading3"/>
      </w:pPr>
      <w:r>
        <w:t>10.1.3 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pPr>
        <w:pStyle w:val="Heading3"/>
      </w:pPr>
      <w:r>
        <w:t>10.1.4 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pPr>
        <w:pStyle w:val="Heading3"/>
      </w:pPr>
      <w:r>
        <w:t>10.1.5 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 xml:space="preserve">判断一项任务是否适合交给智能体，还可以问一个问题：如果它第一步就做错了，后续的步骤会不会放大这个错误？在报名统计中，读取数据出错会导致之后的全部统计失真，因此读取环节需要更严格的核对；而在草稿生成中，错误只停留在草稿里，修改的成本较低。这一判断有助于决定哪些环节应当放在人工确认之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>点题：智能体的自主程度越高，使用者就越需要为它设定边界。能力的增强并不减少使用者的责任；对外发布的内容，应当在发布之前经过人工核实。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pStyle w:val="Heading3"/>
      </w:pPr>
      <w:r>
        <w:t>10.2.1 API的基本过程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pPr>
        <w:pStyle w:val="Heading3"/>
      </w:pPr>
      <w:r>
        <w:t>10.2.2 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pPr>
        <w:pStyle w:val="Heading3"/>
      </w:pPr>
      <w:r>
        <w:t>10.2.3 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pPr>
        <w:pStyle w:val="Heading3"/>
      </w:pPr>
      <w:r>
        <w:t>10.2.4 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pPr>
        <w:pStyle w:val="Heading3"/>
      </w:pPr>
      <w:r>
        <w:t>10.2.5 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>点题：密钥就是授权本身。妥善保管密钥，就是妥善保护自己与合作者的权限，也是对服务方与他人负责的基本体现。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pStyle w:val="Heading3"/>
      </w:pPr>
      <w:r>
        <w:t>10.3.1 配置说明的组成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ind w:firstLine="420"/>
      </w:pPr>
      <w:r>
        <w:t>说明中的每一项都应当可以检查：角色是否清楚，工具是否有明确的权限，触发条件是否可以被观察到。写得含糊的项目，往往也是出问题的项目。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pStyle w:val="Heading3"/>
      </w:pPr>
      <w:r>
        <w:t>10.3.2 结构化的配置示例</w:t>
      </w:r>
    </w:p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10.3.3 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章7.3节中对数据列格式与个人信息的检查相一致，也是最小权限原则在数据层面的体现。</w:t>
      </w:r>
    </w:p>
    <w:p>
      <w:pPr>
        <w:pStyle w:val="Heading3"/>
      </w:pPr>
      <w:r>
        <w:t>10.3.4 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pPr>
        <w:pStyle w:val="Heading3"/>
      </w:pPr>
      <w:r>
        <w:t>10.3.5 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pPr>
        <w:jc w:val="center"/>
      </w:pPr>
      <w:r>
        <w:rPr>
          <w:b/>
          <w:sz w:val="21"/>
        </w:rPr>
        <w:t>表10-4　智能体的三种触发方式（示例）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手动触发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由人决定何时运行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初次使用，每次运行都有人在场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效率较低，依赖人的记忆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定时触发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按设定的时间自动运行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固定周期的汇总任务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须设置运行次数上限，并保留日志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某个事件发生时运行，如有新数据写入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需要及时响应的任务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同一事件可能重复触发，错误也会重复发生</w:t>
            </w:r>
          </w:p>
        </w:tc>
      </w:tr>
    </w:tbl>
    <w:p>
      <w:pPr>
        <w:pStyle w:val="Heading3"/>
      </w:pPr>
      <w:r>
        <w:t>10.3.6 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pPr>
        <w:pStyle w:val="Heading3"/>
      </w:pPr>
      <w:r>
        <w:t>10.3.7 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报名整理智能体的配置界面（示意）</w:t>
      </w:r>
    </w:p>
    <w:p>
      <w:pPr>
        <w:ind w:firstLine="420"/>
      </w:pPr>
      <w:r>
        <w:t xml:space="preserve">配置完成后，还应当为智能体规定停止条件。停止条件包括：达到了目标；连续若干次调用失败；超过了预先设定的预算；或者遇到需要人工判断的情况。没有明确的停止条件，智能体可能在失败之后继续尝试，既浪费调用次数，也可能产生不可预期的操作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>点题：配置智能体，就是为它写下职责与底线。越是含糊的要求，越可能在关键时刻被误解；说明“做不到时怎么办”，同样是负责任的表现。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人工确认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图10-7　小何确认智能体的发送操作（卡通示意）</w:t>
      </w:r>
    </w:p>
    <w:p>
      <w:pPr>
        <w:pStyle w:val="Heading3"/>
      </w:pPr>
      <w:r>
        <w:t>10.4.1 人机协同的含义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-8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ind w:firstLine="420"/>
      </w:pPr>
      <w:r>
        <w:t>人机协同并不是让人逐步盯守，而是在关键节点设置确认点。哪些节点需要确认，取决于操作的风险与可撤销性，而不是取决于步骤的多少。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图10-8　智能体操作的人工确认判断流程（示意）</w:t>
      </w:r>
    </w:p>
    <w:p>
      <w:pPr>
        <w:pStyle w:val="Heading3"/>
      </w:pPr>
      <w:r>
        <w:t>10.4.2 权限边界的分级</w:t>
      </w:r>
    </w:p>
    <w:p>
      <w:pPr>
        <w:ind w:firstLine="420"/>
      </w:pPr>
      <w:r>
        <w:t>权限边界应当按照操作的风险进行分级。表10-5给出了一种常见的分级方式。分级的目的，是让每一类操作都有与之相称的控制方法，而不是对所有操作一律放行或一律禁止。</w:t>
      </w:r>
    </w:p>
    <w:p>
      <w:pPr>
        <w:ind w:firstLine="420"/>
      </w:pPr>
      <w:r>
        <w:t>分级的依据主要有两点：操作是否可以撤销，以及操作影响的范围有多大。例如，草拟一条通知只影响作者本人，而向全体成员发送则会立即产生外部影响，两者应当属于不同级别。</w:t>
      </w:r>
    </w:p>
    <w:p>
      <w:pPr>
        <w:jc w:val="center"/>
      </w:pPr>
      <w:r>
        <w:rPr>
          <w:b/>
          <w:sz w:val="21"/>
        </w:rPr>
        <w:t>表10-5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pPr>
        <w:pStyle w:val="Heading3"/>
      </w:pPr>
      <w:r>
        <w:t>10.4.3 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-5的级别分别开放权限。当任务结束后，应当及时收回不再需要的权限。</w:t>
      </w:r>
    </w:p>
    <w:p>
      <w:pPr>
        <w:pStyle w:val="Heading3"/>
      </w:pPr>
      <w:r>
        <w:t>10.4.4 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-6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表10-6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pPr>
        <w:pStyle w:val="Heading3"/>
      </w:pPr>
      <w:r>
        <w:t>10.4.5 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pPr>
        <w:pStyle w:val="Heading3"/>
      </w:pPr>
      <w:r>
        <w:t>10.4.6 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pPr>
        <w:pStyle w:val="Heading3"/>
      </w:pPr>
      <w:r>
        <w:t>10.4.7 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>图10-9将智能体的操作按可逆性与影响范围分为四个区域，与表10-5的四个权限级别相对应。越靠右下的操作，一旦执行就越难挽回，所需的控制也越严格。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智能体操作的权限分级矩阵（示例）</w:t>
      </w:r>
    </w:p>
    <w:p>
      <w:pPr>
        <w:ind w:firstLine="420"/>
      </w:pPr>
      <w:r>
        <w:t>人工确认的内容还应当包括撤销方式。对于可以撤销的操作，应当说明撤销的步骤；对于无法撤销的操作，例如已经对外发出的消息，确认环节就是唯一的保护。因此，图10-9中越靠近不可逆一侧的操作，越需要在发生之前由人作出判断，而不能依赖事后补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>点题：权限的分配应当与风险相称。由机器执行并不意味着无人负责，人工确认的价值，正在于在错误扩散之前，由人作出判断并承担责任。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【练习】请为一个智能体列出它可能执行的五种操作，按照表10-5将它们分为四个权限级别，并说明每一个需确认操作的确认内容。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pStyle w:val="Heading3"/>
      </w:pPr>
      <w:r>
        <w:t>10.5.1 实训的任务与流程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-5）；至少两次试运行的日志摘要；一份人工确认记录（参照表10-6）；以及一份不少于八百字的作品说明。</w:t>
      </w:r>
    </w:p>
    <w:p>
      <w:pPr>
        <w:ind w:firstLine="420"/>
      </w:pPr>
      <w:r>
        <w:t>实训可以按照图10-10所示的流程进行。与前面章节一样，它的顺序不宜颠倒。若先开放全部权限再考虑确认，常见的结果是权限已经被用于不该执行的操作，之后再补救就十分困难。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带人工确认的智能体实训流程（示意）</w:t>
      </w:r>
    </w:p>
    <w:p>
      <w:pPr>
        <w:pStyle w:val="Heading3"/>
      </w:pPr>
      <w:r>
        <w:t>10.5.2 评分量规的理解</w:t>
      </w:r>
    </w:p>
    <w:p>
      <w:pPr>
        <w:ind w:firstLine="420"/>
      </w:pPr>
      <w:r>
        <w:t>实训的评价可以参考表10-7所示的量规。评价重点关注配置是否清楚、权限是否与风险相称、确认是否真实有效，以及失败时的处理是否可行。</w:t>
      </w:r>
    </w:p>
    <w:p>
      <w:pPr>
        <w:ind w:firstLine="420"/>
      </w:pPr>
      <w:r>
        <w:t>量规中的“需改进”一栏，应当写明具体的缺陷，例如哪一条权限与角色描述不一致，而不是只写“不够完善”。这样，学习者才能知道下一步该改什么。</w:t>
      </w:r>
    </w:p>
    <w:p>
      <w:pPr>
        <w:jc w:val="center"/>
      </w:pPr>
      <w:r>
        <w:rPr>
          <w:b/>
          <w:sz w:val="21"/>
        </w:rPr>
        <w:t>表10-7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pPr>
        <w:pStyle w:val="Heading3"/>
      </w:pPr>
      <w:r>
        <w:t>10.5.3 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pPr>
        <w:pStyle w:val="Heading3"/>
      </w:pPr>
      <w:r>
        <w:t>10.5.4 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pStyle w:val="Heading3"/>
      </w:pPr>
      <w:r>
        <w:t>10.5.5 常见问题与核心原则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pPr>
        <w:ind w:firstLine="420"/>
      </w:pPr>
      <w:r>
        <w:t>这些问题大多与配置说明不完整有关。因此，在进入试运行之前，应当先对照本章的配置检查表，逐项确认角色、权限与触发条件是否一致。</w:t>
      </w:r>
    </w:p>
    <w:p>
      <w:pPr>
        <w:pStyle w:val="Heading3"/>
      </w:pPr>
      <w:r>
        <w:t>10.5.6 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pPr>
        <w:pStyle w:val="Heading3"/>
      </w:pPr>
      <w:r>
        <w:t>10.5.7 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pPr>
        <w:pStyle w:val="Heading3"/>
      </w:pPr>
      <w:r>
        <w:t>10.5.8 实训的起步与失败记录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 xml:space="preserve">实训成果交付之前，应当把一次完整的失败运行也纳入记录，例如确认被拒绝、工具报错或输出为空的情况。这些记录能够证明配置中的边界在异常情况下确实有效，也是说明作品可靠性的重要依据。只展示成功运行的作品，很难让读者相信它在真实使用中同样可靠。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>点题：作品的价值不仅在于功能能否运行，还在于他人能否依据说明检验它的安全与可靠。把控制措施写清楚，本身就是诚实的表达。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图10-11　本章结构</w:t>
      </w:r>
    </w:p>
    <w:p>
      <w:pPr>
        <w:ind w:firstLine="420"/>
      </w:pPr>
      <w:r>
        <w:t>图10-12概括了本章的主要知识点及其关系，可以作为复习时的索引。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244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图10-12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