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4"/>
        </w:rPr>
        <w:t>镜头13：人机协同复核与AI备课——实际操作顺序</w:t>
      </w:r>
    </w:p>
    <w:p>
      <w:pPr>
        <w:pStyle w:val="Heading1"/>
      </w:pPr>
      <w:r>
        <w:t>一、开始位置</w:t>
      </w:r>
    </w:p>
    <w:p>
      <w:r>
        <w:t>教师端12/12完整引导已经结束，页面位于下方教师复核区域。</w:t>
      </w:r>
    </w:p>
    <w:p>
      <w:r>
        <w:rPr>
          <w:b/>
        </w:rPr>
        <w:t>【录屏操作】</w:t>
      </w:r>
    </w:p>
    <w:p>
      <w:r>
        <w:t>1. 点击页面右下角“返回顶部”；</w:t>
      </w:r>
    </w:p>
    <w:p>
      <w:r>
        <w:t>2. 回到教师端总览；</w:t>
      </w:r>
    </w:p>
    <w:p>
      <w:r>
        <w:t>3. 找到“教学核心亮点·AI可信评价”；</w:t>
      </w:r>
    </w:p>
    <w:p>
      <w:r>
        <w:t>4. 点击右侧“开始亮点演示”。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教师端完整引导结束后，页面返回总览。教学核心亮点区域提供一段不修改正式数据的闭环演示，用于说明规则、AI、教师和学生在形成性评价中的分工。该演示不是自动播放，需要按照四个阶段逐步确认。</w:t>
      </w:r>
    </w:p>
    <w:p/>
    <w:p>
      <w:pPr>
        <w:pStyle w:val="Heading1"/>
      </w:pPr>
      <w:r>
        <w:t>二、亮点演示第1阶段：发现问题</w:t>
      </w:r>
    </w:p>
    <w:p>
      <w:r>
        <w:t>打开后，顶部流程停在：</w:t>
      </w:r>
    </w:p>
    <w:p>
      <w:pPr>
        <w:pStyle w:val="IntenseQuote"/>
      </w:pPr>
      <w:r>
        <w:t>1 发现问题</w:t>
      </w:r>
    </w:p>
    <w:p>
      <w:r>
        <w:rPr>
          <w:b/>
        </w:rPr>
        <w:t>【录屏操作】</w:t>
      </w:r>
    </w:p>
    <w:p>
      <w:r>
        <w:t>1. 停留在“01·规则与AI发现问题”；</w:t>
      </w:r>
    </w:p>
    <w:p>
      <w:r>
        <w:t>2. 展示案例标题：</w:t>
      </w:r>
    </w:p>
    <w:p>
      <w:r>
        <w:t xml:space="preserve">   ```text</w:t>
      </w:r>
    </w:p>
    <w:p>
      <w:r>
        <w:t xml:space="preserve">   父母转生活费，能直接认定为“收入”吗？</w:t>
      </w:r>
    </w:p>
    <w:p>
      <w:r>
        <w:t xml:space="preserve">   ```</w:t>
      </w:r>
    </w:p>
    <w:p>
      <w:r>
        <w:t>3. 展示左侧“学生首次判断”；</w:t>
      </w:r>
    </w:p>
    <w:p>
      <w:r>
        <w:t>4. 展示右侧“规则＋DeepSeek”；</w:t>
      </w:r>
    </w:p>
    <w:p>
      <w:r>
        <w:t>5. 展示AI追问和置信度；</w:t>
      </w:r>
    </w:p>
    <w:p>
      <w:r>
        <w:t>6. 点击：</w:t>
      </w:r>
    </w:p>
    <w:p>
      <w:r>
        <w:t xml:space="preserve">   ```text</w:t>
      </w:r>
    </w:p>
    <w:p>
      <w:r>
        <w:t xml:space="preserve">   以教师身份进入复核 →</w:t>
      </w:r>
    </w:p>
    <w:p>
      <w:r>
        <w:t xml:space="preserve">   ```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第一阶段呈现问题发现过程。学生将个人生活资金流入直接判断为企业收入；规则确认资金增加，但收入判断还取决于观察主体，DeepSeek据此提出追问。由于置信度较低，系统不直接评分，而是进入教师复核。</w:t>
      </w:r>
    </w:p>
    <w:p/>
    <w:p>
      <w:pPr>
        <w:pStyle w:val="Heading1"/>
      </w:pPr>
      <w:r>
        <w:t>三、亮点演示第2阶段：教师退回</w:t>
      </w:r>
    </w:p>
    <w:p>
      <w:r>
        <w:t>点击“以教师身份进入复核”后，顶部流程停在：</w:t>
      </w:r>
    </w:p>
    <w:p>
      <w:pPr>
        <w:pStyle w:val="IntenseQuote"/>
      </w:pPr>
      <w:r>
        <w:t>2 教师退回</w:t>
      </w:r>
    </w:p>
    <w:p>
      <w:r>
        <w:t>页面标题为：</w:t>
      </w:r>
    </w:p>
    <w:p>
      <w:pPr>
        <w:pStyle w:val="IntenseQuote"/>
      </w:pPr>
      <w:r>
        <w:t>教师复核意见</w:t>
      </w:r>
    </w:p>
    <w:p>
      <w:r>
        <w:rPr>
          <w:b/>
        </w:rPr>
        <w:t>【录屏操作】</w:t>
      </w:r>
    </w:p>
    <w:p>
      <w:r>
        <w:t>1. 停留在教师复核意见文本框；</w:t>
      </w:r>
    </w:p>
    <w:p>
      <w:r>
        <w:t>2. 让画面清楚显示：</w:t>
      </w:r>
    </w:p>
    <w:p>
      <w:r>
        <w:t xml:space="preserve">   ```text</w:t>
      </w:r>
    </w:p>
    <w:p>
      <w:r>
        <w:t xml:space="preserve">   请先明确观察主体，再判断是否适用企业收入定义。</w:t>
      </w:r>
    </w:p>
    <w:p>
      <w:r>
        <w:t xml:space="preserve">   ```</w:t>
      </w:r>
    </w:p>
    <w:p>
      <w:r>
        <w:t>3. 停留在两个决策位置：</w:t>
      </w:r>
    </w:p>
    <w:p>
      <w:r>
        <w:t xml:space="preserve">   ```text</w:t>
      </w:r>
    </w:p>
    <w:p>
      <w:r>
        <w:t xml:space="preserve">   退回学生修改</w:t>
      </w:r>
    </w:p>
    <w:p>
      <w:r>
        <w:t xml:space="preserve">   直接通过（不建议）</w:t>
      </w:r>
    </w:p>
    <w:p>
      <w:r>
        <w:t xml:space="preserve">   ```</w:t>
      </w:r>
    </w:p>
    <w:p>
      <w:r>
        <w:t>4. 点击：</w:t>
      </w:r>
    </w:p>
    <w:p>
      <w:r>
        <w:t xml:space="preserve">   ```text</w:t>
      </w:r>
    </w:p>
    <w:p>
      <w:r>
        <w:t xml:space="preserve">   退回学生修改</w:t>
      </w:r>
    </w:p>
    <w:p>
      <w:r>
        <w:t xml:space="preserve">   ```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第二阶段保留教师最终评价权。教师结合学生原始判断、规则结果和AI追问，给出专业意见；当前信息不足以直接通过，因此选择“退回学生修改”。右侧“直接通过”被弱化，提示教师优先要求学生补充理由。</w:t>
      </w:r>
    </w:p>
    <w:p/>
    <w:p>
      <w:pPr>
        <w:pStyle w:val="Heading1"/>
      </w:pPr>
      <w:r>
        <w:t>四、亮点演示第3阶段：学生订正</w:t>
      </w:r>
    </w:p>
    <w:p>
      <w:r>
        <w:t>点击“退回学生修改”后，顶部流程停在：</w:t>
      </w:r>
    </w:p>
    <w:p>
      <w:pPr>
        <w:pStyle w:val="IntenseQuote"/>
      </w:pPr>
      <w:r>
        <w:t>3 学生订正</w:t>
      </w:r>
    </w:p>
    <w:p>
      <w:r>
        <w:t>页面标题为：</w:t>
      </w:r>
    </w:p>
    <w:p>
      <w:pPr>
        <w:pStyle w:val="IntenseQuote"/>
      </w:pPr>
      <w:r>
        <w:t>学生重新提交</w:t>
      </w:r>
    </w:p>
    <w:p>
      <w:r>
        <w:rPr>
          <w:b/>
        </w:rPr>
        <w:t>【录屏操作】</w:t>
      </w:r>
    </w:p>
    <w:p>
      <w:r>
        <w:t>1. 展示学生补充说明；</w:t>
      </w:r>
    </w:p>
    <w:p>
      <w:r>
        <w:t>2. 展示“首次→订正”前后对照；</w:t>
      </w:r>
    </w:p>
    <w:p>
      <w:r>
        <w:t>3. 停留2秒；</w:t>
      </w:r>
    </w:p>
    <w:p>
      <w:r>
        <w:t>4. 点击：</w:t>
      </w:r>
    </w:p>
    <w:p>
      <w:r>
        <w:t xml:space="preserve">   ```text</w:t>
      </w:r>
    </w:p>
    <w:p>
      <w:r>
        <w:t xml:space="preserve">   返回教师最终确认 →</w:t>
      </w:r>
    </w:p>
    <w:p>
      <w:r>
        <w:t xml:space="preserve">   ```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第三阶段由学生根据教师意见重新提交。首次判断与订正说明并列呈现，能够看出学生已从“资金流入就是收入”修正为“个人生活资金流入不能未经主体转换直接认定为企业收入”。</w:t>
      </w:r>
    </w:p>
    <w:p/>
    <w:p>
      <w:pPr>
        <w:pStyle w:val="Heading1"/>
      </w:pPr>
      <w:r>
        <w:t>五、亮点演示第4阶段：最终确认</w:t>
      </w:r>
    </w:p>
    <w:p>
      <w:r>
        <w:t>点击“返回教师最终确认”后，顶部流程停在：</w:t>
      </w:r>
    </w:p>
    <w:p>
      <w:pPr>
        <w:pStyle w:val="IntenseQuote"/>
      </w:pPr>
      <w:r>
        <w:t>4 最终确认</w:t>
      </w:r>
    </w:p>
    <w:p>
      <w:r>
        <w:t>页面显示：</w:t>
      </w:r>
    </w:p>
    <w:p>
      <w:pPr>
        <w:pStyle w:val="IntenseQuote"/>
      </w:pPr>
      <w:r>
        <w:t>复核闭环完成</w:t>
      </w:r>
    </w:p>
    <w:p>
      <w:r>
        <w:rPr>
          <w:b/>
        </w:rPr>
        <w:t>【录屏操作】</w:t>
      </w:r>
    </w:p>
    <w:p>
      <w:r>
        <w:t>1. 展示最终结论；</w:t>
      </w:r>
    </w:p>
    <w:p>
      <w:r>
        <w:t>2. 展示AI、教师、学生三方分工；</w:t>
      </w:r>
    </w:p>
    <w:p>
      <w:r>
        <w:t>3. 停留3秒；</w:t>
      </w:r>
    </w:p>
    <w:p>
      <w:r>
        <w:t>4. 点击：</w:t>
      </w:r>
    </w:p>
    <w:p>
      <w:r>
        <w:t xml:space="preserve">   ```text</w:t>
      </w:r>
    </w:p>
    <w:p>
      <w:r>
        <w:t xml:space="preserve">   完成演示并返回驾驶舱</w:t>
      </w:r>
    </w:p>
    <w:p>
      <w:r>
        <w:t xml:space="preserve">   ```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第四阶段由教师完成最终确认。AI负责发现不确定问题，教师作出专业判断，学生完成认知订正；这不是AI自动评分，而是规则、AI和教师共同支持的形成性评价。</w:t>
      </w:r>
    </w:p>
    <w:p/>
    <w:p>
      <w:pPr>
        <w:pStyle w:val="Heading1"/>
      </w:pPr>
      <w:r>
        <w:t>六、进入正式AI复核队列</w:t>
      </w:r>
    </w:p>
    <w:p>
      <w:r>
        <w:t>亮点演示关闭后，返回教师端总览。</w:t>
      </w:r>
    </w:p>
    <w:p>
      <w:r>
        <w:rPr>
          <w:b/>
        </w:rPr>
        <w:t>【录屏操作】</w:t>
      </w:r>
    </w:p>
    <w:p>
      <w:r>
        <w:t>1. 点击左侧导航“AI复核”；</w:t>
      </w:r>
    </w:p>
    <w:p>
      <w:r>
        <w:t>2. 页面滚动到“AI复核队列”；</w:t>
      </w:r>
    </w:p>
    <w:p>
      <w:r>
        <w:t>3. 找到一条低置信度、规则冲突或重新提交记录；</w:t>
      </w:r>
    </w:p>
    <w:p>
      <w:r>
        <w:t>4. 点击该记录右侧：</w:t>
      </w:r>
    </w:p>
    <w:p>
      <w:r>
        <w:t xml:space="preserve">   ```text</w:t>
      </w:r>
    </w:p>
    <w:p>
      <w:r>
        <w:t xml:space="preserve">   进入复核</w:t>
      </w:r>
    </w:p>
    <w:p>
      <w:r>
        <w:t xml:space="preserve">   ```</w:t>
      </w:r>
    </w:p>
    <w:p>
      <w:r>
        <w:t>5. 在“教师复核意见”中填写或保留专业意见；</w:t>
      </w:r>
    </w:p>
    <w:p>
      <w:r>
        <w:t>6. 展示：</w:t>
      </w:r>
    </w:p>
    <w:p>
      <w:r>
        <w:t xml:space="preserve">   ```text</w:t>
      </w:r>
    </w:p>
    <w:p>
      <w:r>
        <w:t xml:space="preserve">   退回学生修改</w:t>
      </w:r>
    </w:p>
    <w:p>
      <w:r>
        <w:t xml:space="preserve">   确认通过</w:t>
      </w:r>
    </w:p>
    <w:p>
      <w:r>
        <w:t xml:space="preserve">   ```</w:t>
      </w:r>
    </w:p>
    <w:p>
      <w:r>
        <w:t>7. 为避免改变后续录屏数据，可以只展示按钮后点击“完成并关闭”；如需要实际演示退回，则点击“退回学生修改”，等待成功提示后再关闭。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前面的30秒亮点演示用于说明协同逻辑，不修改正式数据。正式AI复核队列读取SQLite中的真实待复核记录，教师可以查看AI置信度、问题详情和学生补充说明，填写复核意见后选择退回修改或确认通过。</w:t>
      </w:r>
    </w:p>
    <w:p/>
    <w:p>
      <w:pPr>
        <w:pStyle w:val="Heading1"/>
      </w:pPr>
      <w:r>
        <w:t>七、进入AI备课</w:t>
      </w:r>
    </w:p>
    <w:p>
      <w:pPr>
        <w:pStyle w:val="Heading2"/>
      </w:pPr>
      <w:r>
        <w:t>第1步：进入工作台</w:t>
      </w:r>
    </w:p>
    <w:p>
      <w:r>
        <w:rPr>
          <w:b/>
        </w:rPr>
        <w:t>【录屏操作】</w:t>
      </w:r>
    </w:p>
    <w:p>
      <w:r>
        <w:t>点击左侧“AI备课”，页面滚动到“AI备课与资源整合工作台”。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教师复核解决单条记录的评价问题；AI备课进一步把班级共性认知问题转化为下一次教学设计依据。</w:t>
      </w:r>
    </w:p>
    <w:p>
      <w:pPr>
        <w:pStyle w:val="Heading2"/>
      </w:pPr>
      <w:r>
        <w:t>第2步：选择主题和课型</w:t>
      </w:r>
    </w:p>
    <w:p>
      <w:r>
        <w:rPr>
          <w:b/>
        </w:rPr>
        <w:t>【录屏操作】</w:t>
      </w:r>
    </w:p>
    <w:p>
      <w:pPr>
        <w:pStyle w:val="IntenseQuote"/>
      </w:pPr>
      <w:r>
        <w:t>教学主题：会计主体</w:t>
        <w:br/>
        <w:t>课型：错题讲评</w:t>
      </w:r>
    </w:p>
    <w:p>
      <w:r>
        <w:t>两项同时可见时停留2秒。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当前案例的核心问题是个人生活视角与企业会计主体混淆，因此选择“会计主体”；为针对已经出现的错误组织反馈和再练习，课型选择“错题讲评”。</w:t>
      </w:r>
    </w:p>
    <w:p>
      <w:pPr>
        <w:pStyle w:val="Heading2"/>
      </w:pPr>
      <w:r>
        <w:t>第3步：生成方案</w:t>
      </w:r>
    </w:p>
    <w:p>
      <w:r>
        <w:rPr>
          <w:b/>
        </w:rPr>
        <w:t>【录屏操作】</w:t>
      </w:r>
    </w:p>
    <w:p>
      <w:r>
        <w:t>点击“根据本班学情生成方案”，保留“正在读取学情并生成”约1秒。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系统读取当前班级的生活记录、数字推演、订正率和高频错误，而不是脱离班级数据生成通用教案。</w:t>
      </w:r>
    </w:p>
    <w:p>
      <w:pPr>
        <w:pStyle w:val="Heading2"/>
      </w:pPr>
      <w:r>
        <w:t>第4步：查看依据和资源</w:t>
      </w:r>
    </w:p>
    <w:p>
      <w:r>
        <w:rPr>
          <w:b/>
        </w:rPr>
        <w:t>【录屏操作】</w:t>
      </w:r>
    </w:p>
    <w:p>
      <w:r>
        <w:t>先展示“班级学情摘要”，再展示“推荐内部资源”。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学情摘要说明方案依据；资源区域再匹配生活情境、3D等式、双主体关系和游戏工具，并标明每项资源的教学用途。</w:t>
      </w:r>
    </w:p>
    <w:p>
      <w:pPr>
        <w:pStyle w:val="Heading2"/>
      </w:pPr>
      <w:r>
        <w:t>第5步：查看并导出方案</w:t>
      </w:r>
    </w:p>
    <w:p>
      <w:r>
        <w:rPr>
          <w:b/>
        </w:rPr>
        <w:t>【录屏操作】</w:t>
      </w:r>
    </w:p>
    <w:p>
      <w:r>
        <w:t>展示教学目标、情境导入、教学活动和问题链，最后停在“导出备课稿”附近。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系统据此形成教学目标、情境导入、教学活动和问题链，并支持导出备课稿。AI只提供可编辑草稿，是否采用和怎样调整仍由教师决定。</w:t>
      </w:r>
    </w:p>
    <w:p/>
    <w:p>
      <w:pPr>
        <w:pStyle w:val="Heading1"/>
      </w:pPr>
      <w:r>
        <w:t>八、最后停在哪里</w:t>
      </w:r>
    </w:p>
    <w:p>
      <w:r>
        <w:t>最终停在AI备课结果中的：</w:t>
      </w:r>
    </w:p>
    <w:p>
      <w:pPr>
        <w:pStyle w:val="IntenseQuote"/>
      </w:pPr>
      <w:r>
        <w:t>班级学情摘要</w:t>
        <w:br/>
        <w:t>推荐内部资源</w:t>
      </w:r>
    </w:p>
    <w:p>
      <w:r>
        <w:t>二者同时可见。</w:t>
      </w:r>
    </w:p>
    <w:p>
      <w:r>
        <w:t>结束解说：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至此，学生端形成的首次判断、专项训练和订正记录，已经转化为教师复核、班级诊断和教学设计依据，完成从个体学习到教师决策的闭环。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5360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789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