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left"/>
      </w:pPr>
      <w:r>
        <w:rPr>
          <w:rFonts w:ascii="Noto Sans CJK SC" w:hAnsi="Noto Sans CJK SC" w:eastAsia="Noto Sans CJK SC" w:cs="Noto Sans CJK SC"/>
          <w:b/>
          <w:i w:val="0"/>
          <w:color w:val="163A63"/>
          <w:sz w:val="44"/>
        </w:rPr>
        <w:t>交通流预测实现流程文档</w:t>
      </w:r>
    </w:p>
    <w:p>
      <w:pPr>
        <w:spacing w:before="0" w:after="160"/>
        <w:jc w:val="left"/>
      </w:pPr>
      <w:r>
        <w:rPr>
          <w:rFonts w:ascii="Noto Sans CJK SC" w:hAnsi="Noto Sans CJK SC" w:eastAsia="Noto Sans CJK SC" w:cs="Noto Sans CJK SC"/>
          <w:b/>
          <w:i w:val="0"/>
          <w:color w:val="2A5D8F"/>
          <w:sz w:val="26"/>
        </w:rPr>
        <w:t>仿真数据驱动 + Transformer 短时预测</w:t>
      </w:r>
      <w:r>
        <w:rPr>
          <w:rFonts w:ascii="Noto Sans CJK SC" w:hAnsi="Noto Sans CJK SC" w:eastAsia="Noto Sans CJK SC" w:cs="Noto Sans CJK SC"/>
          <w:b w:val="0"/>
          <w:i w:val="0"/>
          <w:color w:val="5A6A7A"/>
          <w:sz w:val="26"/>
        </w:rPr>
        <w:t>｜面向数字孪生底座的落地版本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113"/>
        </w:trPr>
        <w:tc>
          <w:tcPr>
            <w:tcW w:type="dxa" w:w="9638"/>
            <w:shd w:fill="2F6690"/>
            <w:tcBorders>
              <w:left w:val="nil"/>
              <w:top w:val="nil"/>
              <w:right w:val="nil"/>
              <w:bottom w:val="nil"/>
            </w:tcBorders>
          </w:tcPr>
          <w:p>
            <w:r/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4FA"/>
            <w:tcBorders>
              <w:left w:val="single" w:sz="10" w:color="D3E1EF"/>
              <w:top w:val="single" w:sz="10" w:color="2F6690"/>
              <w:right w:val="single" w:sz="10" w:color="D3E1EF"/>
              <w:bottom w:val="single" w:sz="10" w:color="D3E1EF"/>
            </w:tcBorders>
            <w:tcMar>
              <w:top w:w="120" w:type="dxa"/>
              <w:start w:w="140" w:type="dxa"/>
              <w:bottom w:w="100" w:type="dxa"/>
              <w:end w:w="140" w:type="dxa"/>
            </w:tcMar>
          </w:tcPr>
          <w:p>
            <w:pPr>
              <w:spacing w:line="312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63A63"/>
                <w:sz w:val="21"/>
              </w:rPr>
              <w:t>适用前提：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sz w:val="21"/>
              </w:rPr>
              <w:t>当前团队暂无真实检测数据，</w:t>
            </w:r>
            <w:r>
              <w:rPr>
                <w:rFonts w:ascii="Noto Sans CJK SC" w:hAnsi="Noto Sans CJK SC" w:eastAsia="Noto Sans CJK SC" w:cs="Noto Sans CJK SC"/>
                <w:b/>
                <w:i w:val="0"/>
                <w:color w:val="163A63"/>
                <w:sz w:val="21"/>
              </w:rPr>
              <w:t>仅使用 SUMO 仿真数据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sz w:val="21"/>
              </w:rPr>
              <w:t>训练短时预测模型；模型输出需服务于</w:t>
            </w:r>
            <w:r>
              <w:rPr>
                <w:rFonts w:ascii="Noto Sans CJK SC" w:hAnsi="Noto Sans CJK SC" w:eastAsia="Noto Sans CJK SC" w:cs="Noto Sans CJK SC"/>
                <w:b/>
                <w:i w:val="0"/>
                <w:color w:val="163A63"/>
                <w:sz w:val="21"/>
              </w:rPr>
              <w:t>强化学习信号灯控制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sz w:val="21"/>
              </w:rPr>
              <w:t>与</w:t>
            </w:r>
            <w:r>
              <w:rPr>
                <w:rFonts w:ascii="Noto Sans CJK SC" w:hAnsi="Noto Sans CJK SC" w:eastAsia="Noto Sans CJK SC" w:cs="Noto Sans CJK SC"/>
                <w:b/>
                <w:i w:val="0"/>
                <w:color w:val="163A63"/>
                <w:sz w:val="21"/>
              </w:rPr>
              <w:t>事故场景模拟推演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sz w:val="21"/>
              </w:rPr>
              <w:t>。本文件不追求论文式铺陈，而是作为开发推进和任务分解的抓手。</w:t>
            </w:r>
          </w:p>
        </w:tc>
      </w:tr>
    </w:tbl>
    <w:p>
      <w:pPr>
        <w:spacing w:after="40"/>
      </w:pPr>
    </w:p>
    <w:p>
      <w:pPr>
        <w:keepNext w:val="0"/>
        <w:spacing w:before="40" w:after="40" w:line="324" w:lineRule="auto"/>
      </w:pPr>
      <w:r>
        <w:rPr>
          <w:rFonts w:ascii="Noto Sans CJK SC" w:hAnsi="Noto Sans CJK SC" w:eastAsia="Noto Sans CJK SC" w:cs="Noto Sans CJK SC"/>
          <w:b/>
          <w:i w:val="0"/>
          <w:color w:val="163A63"/>
          <w:sz w:val="23"/>
        </w:rPr>
        <w:t>先行拍板的 7 个决策（建议作为本周内部统一口径）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20"/>
              </w:rPr>
              <w:t>决策项</w:t>
            </w:r>
          </w:p>
        </w:tc>
        <w:tc>
          <w:tcPr>
            <w:tcW w:type="dxa" w:w="25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20"/>
              </w:rPr>
              <w:t>建议值</w:t>
            </w:r>
          </w:p>
        </w:tc>
        <w:tc>
          <w:tcPr>
            <w:tcW w:type="dxa" w:w="51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预测区域</w:t>
            </w:r>
          </w:p>
        </w:tc>
        <w:tc>
          <w:tcPr>
            <w:tcW w:type="dxa" w:w="25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复杂瓶颈区局部</w:t>
            </w:r>
          </w:p>
        </w:tc>
        <w:tc>
          <w:tcPr>
            <w:tcW w:type="dxa" w:w="51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先做 1 个主线—匝道—信号交叉口闭环，不先做全网。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时间粒度</w:t>
            </w:r>
          </w:p>
        </w:tc>
        <w:tc>
          <w:tcPr>
            <w:tcW w:type="dxa" w:w="25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60 s</w:t>
            </w:r>
          </w:p>
        </w:tc>
        <w:tc>
          <w:tcPr>
            <w:tcW w:type="dxa" w:w="51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兼顾波动性、稳定性与后续信号控制联动。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输入窗口 L</w:t>
            </w:r>
          </w:p>
        </w:tc>
        <w:tc>
          <w:tcPr>
            <w:tcW w:type="dxa" w:w="25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12 步（过去 12 分钟）</w:t>
            </w:r>
          </w:p>
        </w:tc>
        <w:tc>
          <w:tcPr>
            <w:tcW w:type="dxa" w:w="51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初始实现足够；后续可尝试 15/20 步。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预测窗口 H</w:t>
            </w:r>
          </w:p>
        </w:tc>
        <w:tc>
          <w:tcPr>
            <w:tcW w:type="dxa" w:w="25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15 步（未来 15 分钟）</w:t>
            </w:r>
          </w:p>
        </w:tc>
        <w:tc>
          <w:tcPr>
            <w:tcW w:type="dxa" w:w="51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评估时分开看 5/10/15 步误差。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主标签</w:t>
            </w:r>
          </w:p>
        </w:tc>
        <w:tc>
          <w:tcPr>
            <w:tcW w:type="dxa" w:w="25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流量 + 速度 + 排队长度</w:t>
            </w:r>
          </w:p>
        </w:tc>
        <w:tc>
          <w:tcPr>
            <w:tcW w:type="dxa" w:w="51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若首版资源紧张，可先做“流量 + 排队长度”。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首版模型</w:t>
            </w:r>
          </w:p>
        </w:tc>
        <w:tc>
          <w:tcPr>
            <w:tcW w:type="dxa" w:w="25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V1：拼接式多变量 Transformer</w:t>
            </w:r>
          </w:p>
        </w:tc>
        <w:tc>
          <w:tcPr>
            <w:tcW w:type="dxa" w:w="51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先落地、先跑通，再升级为空间—时间 Transformer。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对照基线</w:t>
            </w:r>
          </w:p>
        </w:tc>
        <w:tc>
          <w:tcPr>
            <w:tcW w:type="dxa" w:w="25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HA / XGBoost / LSTM</w:t>
            </w:r>
          </w:p>
        </w:tc>
        <w:tc>
          <w:tcPr>
            <w:tcW w:type="dxa" w:w="51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必须保留，便于说明改进来自模型设计而非场景设置。</w:t>
            </w:r>
          </w:p>
        </w:tc>
      </w:tr>
    </w:tbl>
    <w:p>
      <w:pPr>
        <w:spacing w:after="60"/>
      </w:pPr>
    </w:p>
    <w:p>
      <w:pPr>
        <w:keepNext w:val="0"/>
        <w:spacing w:before="80" w:after="40" w:line="324" w:lineRule="auto"/>
      </w:pPr>
      <w:r>
        <w:rPr>
          <w:rFonts w:ascii="Noto Sans CJK SC" w:hAnsi="Noto Sans CJK SC" w:eastAsia="Noto Sans CJK SC" w:cs="Noto Sans CJK SC"/>
          <w:b/>
          <w:i w:val="0"/>
          <w:color w:val="163A63"/>
          <w:sz w:val="23"/>
        </w:rPr>
        <w:t>总体实施主线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474"/>
            <w:tcMar>
              <w:top w:w="110" w:type="dxa"/>
              <w:start w:w="80" w:type="dxa"/>
              <w:bottom w:w="110" w:type="dxa"/>
              <w:end w:w="80" w:type="dxa"/>
            </w:tcMar>
            <w:shd w:fill="DCEAF7"/>
            <w:tcBorders>
              <w:left w:val="single" w:sz="8" w:color="B6CEE5"/>
              <w:top w:val="single" w:sz="8" w:color="B6CEE5"/>
              <w:right w:val="single" w:sz="8" w:color="B6CEE5"/>
              <w:bottom w:val="single" w:sz="8" w:color="B6C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63A63"/>
                <w:sz w:val="21"/>
              </w:rPr>
              <w:t>场景配置</w:t>
            </w:r>
          </w:p>
        </w:tc>
        <w:tc>
          <w:tcPr>
            <w:tcW w:type="dxa" w:w="283"/>
            <w:tcMar>
              <w:top w:w="110" w:type="dxa"/>
              <w:start w:w="80" w:type="dxa"/>
              <w:bottom w:w="110" w:type="dxa"/>
              <w:end w:w="8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6D89A7"/>
                <w:sz w:val="24"/>
              </w:rPr>
              <w:t>→</w:t>
            </w:r>
          </w:p>
        </w:tc>
        <w:tc>
          <w:tcPr>
            <w:tcW w:type="dxa" w:w="1474"/>
            <w:tcMar>
              <w:top w:w="110" w:type="dxa"/>
              <w:start w:w="80" w:type="dxa"/>
              <w:bottom w:w="110" w:type="dxa"/>
              <w:end w:w="80" w:type="dxa"/>
            </w:tcMar>
            <w:shd w:fill="EAF2FA"/>
            <w:tcBorders>
              <w:left w:val="single" w:sz="8" w:color="B6CEE5"/>
              <w:top w:val="single" w:sz="8" w:color="B6CEE5"/>
              <w:right w:val="single" w:sz="8" w:color="B6CEE5"/>
              <w:bottom w:val="single" w:sz="8" w:color="B6C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63A63"/>
                <w:sz w:val="21"/>
              </w:rPr>
              <w:t>数据生成</w:t>
            </w:r>
          </w:p>
        </w:tc>
        <w:tc>
          <w:tcPr>
            <w:tcW w:type="dxa" w:w="283"/>
            <w:tcMar>
              <w:top w:w="110" w:type="dxa"/>
              <w:start w:w="80" w:type="dxa"/>
              <w:bottom w:w="110" w:type="dxa"/>
              <w:end w:w="8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6D89A7"/>
                <w:sz w:val="24"/>
              </w:rPr>
              <w:t>→</w:t>
            </w:r>
          </w:p>
        </w:tc>
        <w:tc>
          <w:tcPr>
            <w:tcW w:type="dxa" w:w="1474"/>
            <w:tcMar>
              <w:top w:w="110" w:type="dxa"/>
              <w:start w:w="80" w:type="dxa"/>
              <w:bottom w:w="110" w:type="dxa"/>
              <w:end w:w="80" w:type="dxa"/>
            </w:tcMar>
            <w:shd w:fill="DCEAF7"/>
            <w:tcBorders>
              <w:left w:val="single" w:sz="8" w:color="B6CEE5"/>
              <w:top w:val="single" w:sz="8" w:color="B6CEE5"/>
              <w:right w:val="single" w:sz="8" w:color="B6CEE5"/>
              <w:bottom w:val="single" w:sz="8" w:color="B6C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63A63"/>
                <w:sz w:val="21"/>
              </w:rPr>
              <w:t>数据集构建</w:t>
            </w:r>
          </w:p>
        </w:tc>
        <w:tc>
          <w:tcPr>
            <w:tcW w:type="dxa" w:w="283"/>
            <w:tcMar>
              <w:top w:w="110" w:type="dxa"/>
              <w:start w:w="80" w:type="dxa"/>
              <w:bottom w:w="110" w:type="dxa"/>
              <w:end w:w="8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6D89A7"/>
                <w:sz w:val="24"/>
              </w:rPr>
              <w:t>→</w:t>
            </w:r>
          </w:p>
        </w:tc>
        <w:tc>
          <w:tcPr>
            <w:tcW w:type="dxa" w:w="1474"/>
            <w:tcMar>
              <w:top w:w="110" w:type="dxa"/>
              <w:start w:w="80" w:type="dxa"/>
              <w:bottom w:w="110" w:type="dxa"/>
              <w:end w:w="80" w:type="dxa"/>
            </w:tcMar>
            <w:shd w:fill="EAF2FA"/>
            <w:tcBorders>
              <w:left w:val="single" w:sz="8" w:color="B6CEE5"/>
              <w:top w:val="single" w:sz="8" w:color="B6CEE5"/>
              <w:right w:val="single" w:sz="8" w:color="B6CEE5"/>
              <w:bottom w:val="single" w:sz="8" w:color="B6C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63A63"/>
                <w:sz w:val="21"/>
              </w:rPr>
              <w:t>模型训练</w:t>
            </w:r>
          </w:p>
        </w:tc>
        <w:tc>
          <w:tcPr>
            <w:tcW w:type="dxa" w:w="283"/>
            <w:tcMar>
              <w:top w:w="110" w:type="dxa"/>
              <w:start w:w="80" w:type="dxa"/>
              <w:bottom w:w="110" w:type="dxa"/>
              <w:end w:w="8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6D89A7"/>
                <w:sz w:val="24"/>
              </w:rPr>
              <w:t>→</w:t>
            </w:r>
          </w:p>
        </w:tc>
        <w:tc>
          <w:tcPr>
            <w:tcW w:type="dxa" w:w="1474"/>
            <w:tcMar>
              <w:top w:w="110" w:type="dxa"/>
              <w:start w:w="80" w:type="dxa"/>
              <w:bottom w:w="110" w:type="dxa"/>
              <w:end w:w="80" w:type="dxa"/>
            </w:tcMar>
            <w:shd w:fill="DCEAF7"/>
            <w:tcBorders>
              <w:left w:val="single" w:sz="8" w:color="B6CEE5"/>
              <w:top w:val="single" w:sz="8" w:color="B6CEE5"/>
              <w:right w:val="single" w:sz="8" w:color="B6CEE5"/>
              <w:bottom w:val="single" w:sz="8" w:color="B6C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63A63"/>
                <w:sz w:val="21"/>
              </w:rPr>
              <w:t>平台联调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i w:val="0"/>
          <w:color w:val="183A63"/>
          <w:sz w:val="30"/>
        </w:rPr>
        <w:t>一、模块定位与首期边界</w:t>
      </w:r>
    </w:p>
    <w:p>
      <w:pPr>
        <w:keepNext w:val="0"/>
        <w:spacing w:before="0" w:after="80" w:line="324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交通流预测模块在数字孪生底座中的职责，不是单独输出一条“未来流量曲线”，而是为平台提供</w:t>
      </w:r>
      <w:r>
        <w:rPr>
          <w:rFonts w:ascii="Noto Sans CJK SC" w:hAnsi="Noto Sans CJK SC" w:eastAsia="Noto Sans CJK SC" w:cs="Noto Sans CJK SC"/>
          <w:b/>
          <w:i w:val="0"/>
          <w:color w:val="163A63"/>
          <w:sz w:val="21"/>
        </w:rPr>
        <w:t>可前瞻的交通状态估计</w:t>
      </w:r>
      <w:r>
        <w:rPr>
          <w:rFonts w:ascii="Noto Sans CJK SC" w:hAnsi="Noto Sans CJK SC" w:eastAsia="Noto Sans CJK SC" w:cs="Noto Sans CJK SC"/>
          <w:b w:val="0"/>
          <w:i w:val="0"/>
          <w:sz w:val="21"/>
        </w:rPr>
        <w:t>：面向未来 5–15 分钟预测关键观测点的</w:t>
      </w:r>
      <w:r>
        <w:rPr>
          <w:rFonts w:ascii="Noto Sans CJK SC" w:hAnsi="Noto Sans CJK SC" w:eastAsia="Noto Sans CJK SC" w:cs="Noto Sans CJK SC"/>
          <w:b/>
          <w:i w:val="0"/>
          <w:color w:val="163A63"/>
          <w:sz w:val="21"/>
        </w:rPr>
        <w:t>流量、速度、排队长度</w:t>
      </w:r>
      <w:r>
        <w:rPr>
          <w:rFonts w:ascii="Noto Sans CJK SC" w:hAnsi="Noto Sans CJK SC" w:eastAsia="Noto Sans CJK SC" w:cs="Noto Sans CJK SC"/>
          <w:b w:val="0"/>
          <w:i w:val="0"/>
          <w:sz w:val="21"/>
        </w:rPr>
        <w:t>，并把结果向下游传递给</w:t>
      </w:r>
      <w:r>
        <w:rPr>
          <w:rFonts w:ascii="Noto Sans CJK SC" w:hAnsi="Noto Sans CJK SC" w:eastAsia="Noto Sans CJK SC" w:cs="Noto Sans CJK SC"/>
          <w:b/>
          <w:i w:val="0"/>
          <w:color w:val="163A63"/>
          <w:sz w:val="21"/>
        </w:rPr>
        <w:t>信号控制策略</w:t>
      </w:r>
      <w:r>
        <w:rPr>
          <w:rFonts w:ascii="Noto Sans CJK SC" w:hAnsi="Noto Sans CJK SC" w:eastAsia="Noto Sans CJK SC" w:cs="Noto Sans CJK SC"/>
          <w:b w:val="0"/>
          <w:i w:val="0"/>
          <w:sz w:val="21"/>
        </w:rPr>
        <w:t>和</w:t>
      </w:r>
      <w:r>
        <w:rPr>
          <w:rFonts w:ascii="Noto Sans CJK SC" w:hAnsi="Noto Sans CJK SC" w:eastAsia="Noto Sans CJK SC" w:cs="Noto Sans CJK SC"/>
          <w:b/>
          <w:i w:val="0"/>
          <w:color w:val="163A63"/>
          <w:sz w:val="21"/>
        </w:rPr>
        <w:t>事故推演模块</w:t>
      </w:r>
      <w:r>
        <w:rPr>
          <w:rFonts w:ascii="Noto Sans CJK SC" w:hAnsi="Noto Sans CJK SC" w:eastAsia="Noto Sans CJK SC" w:cs="Noto Sans CJK SC"/>
          <w:b w:val="0"/>
          <w:i w:val="0"/>
          <w:sz w:val="21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20"/>
              </w:rPr>
              <w:t>维度</w:t>
            </w:r>
          </w:p>
        </w:tc>
        <w:tc>
          <w:tcPr>
            <w:tcW w:type="dxa" w:w="300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20"/>
              </w:rPr>
              <w:t>首期建议范围</w:t>
            </w:r>
          </w:p>
        </w:tc>
        <w:tc>
          <w:tcPr>
            <w:tcW w:type="dxa" w:w="45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20"/>
              </w:rPr>
              <w:t>暂不纳入首期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空间范围</w:t>
            </w:r>
          </w:p>
        </w:tc>
        <w:tc>
          <w:tcPr>
            <w:tcW w:type="dxa" w:w="300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复杂瓶颈区的局部闭环（4–8 个关键观测点）</w:t>
            </w:r>
          </w:p>
        </w:tc>
        <w:tc>
          <w:tcPr>
            <w:tcW w:type="dxa" w:w="45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全城路网级泛化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数据来源</w:t>
            </w:r>
          </w:p>
        </w:tc>
        <w:tc>
          <w:tcPr>
            <w:tcW w:type="dxa" w:w="300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SUMO 场景批量生成 + 探测器/TraCI 采样</w:t>
            </w:r>
          </w:p>
        </w:tc>
        <w:tc>
          <w:tcPr>
            <w:tcW w:type="dxa" w:w="45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真实检测器、视频感知、多源融合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模型目标</w:t>
            </w:r>
          </w:p>
        </w:tc>
        <w:tc>
          <w:tcPr>
            <w:tcW w:type="dxa" w:w="300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短时多变量预测（未来 15 分钟）</w:t>
            </w:r>
          </w:p>
        </w:tc>
        <w:tc>
          <w:tcPr>
            <w:tcW w:type="dxa" w:w="45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长时 OD 需求预测、全天趋势预测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服务对象</w:t>
            </w:r>
          </w:p>
        </w:tc>
        <w:tc>
          <w:tcPr>
            <w:tcW w:type="dxa" w:w="300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RL 信号灯控制、事故推演、可视化看板</w:t>
            </w:r>
          </w:p>
        </w:tc>
        <w:tc>
          <w:tcPr>
            <w:tcW w:type="dxa" w:w="45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全平台统一总线、完整权限/调度系统</w:t>
            </w:r>
          </w:p>
        </w:tc>
      </w:tr>
    </w:tbl>
    <w:p>
      <w:pPr>
        <w:keepNext w:val="0"/>
        <w:spacing w:before="80" w:after="80" w:line="324" w:lineRule="auto"/>
      </w:pPr>
      <w:r>
        <w:rPr>
          <w:rFonts w:ascii="Noto Sans CJK SC" w:hAnsi="Noto Sans CJK SC" w:eastAsia="Noto Sans CJK SC" w:cs="Noto Sans CJK SC"/>
          <w:b/>
          <w:i w:val="0"/>
          <w:color w:val="163A63"/>
          <w:sz w:val="21"/>
        </w:rPr>
        <w:t>首期目标一句话：</w:t>
      </w:r>
      <w:r>
        <w:rPr>
          <w:rFonts w:ascii="Noto Sans CJK SC" w:hAnsi="Noto Sans CJK SC" w:eastAsia="Noto Sans CJK SC" w:cs="Noto Sans CJK SC"/>
          <w:b w:val="0"/>
          <w:i w:val="0"/>
          <w:sz w:val="21"/>
        </w:rPr>
        <w:t>在仅有仿真数据的前提下，构建一个可复现、可评估、可接入平台的</w:t>
      </w:r>
      <w:r>
        <w:rPr>
          <w:rFonts w:ascii="Noto Sans CJK SC" w:hAnsi="Noto Sans CJK SC" w:eastAsia="Noto Sans CJK SC" w:cs="Noto Sans CJK SC"/>
          <w:b/>
          <w:i w:val="0"/>
          <w:color w:val="163A63"/>
          <w:sz w:val="21"/>
        </w:rPr>
        <w:t>短时交通状态预测服务</w:t>
      </w:r>
      <w:r>
        <w:rPr>
          <w:rFonts w:ascii="Noto Sans CJK SC" w:hAnsi="Noto Sans CJK SC" w:eastAsia="Noto Sans CJK SC" w:cs="Noto Sans CJK SC"/>
          <w:b w:val="0"/>
          <w:i w:val="0"/>
          <w:sz w:val="21"/>
        </w:rPr>
        <w:t>，为后续控制与推演提供统一输入。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i w:val="0"/>
          <w:color w:val="183A63"/>
          <w:sz w:val="30"/>
        </w:rPr>
        <w:t>二、总体实施路线与阶段出口</w:t>
      </w:r>
    </w:p>
    <w:p>
      <w:pPr>
        <w:keepNext w:val="0"/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sz w:val="22"/>
        </w:rPr>
        <w:t>建议按“先跑通、再增强、再联调”的三段式推进。每个阶段都要有可交付物和明确退出条件，避免一开始直接卷入复杂模型和平台工程。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9"/>
              </w:rPr>
              <w:t>阶段</w:t>
            </w:r>
          </w:p>
        </w:tc>
        <w:tc>
          <w:tcPr>
            <w:tcW w:type="dxa" w:w="18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9"/>
              </w:rPr>
              <w:t>阶段名称</w:t>
            </w:r>
          </w:p>
        </w:tc>
        <w:tc>
          <w:tcPr>
            <w:tcW w:type="dxa" w:w="47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9"/>
              </w:rPr>
              <w:t>核心任务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9"/>
              </w:rPr>
              <w:t>退出条件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P0</w:t>
            </w:r>
          </w:p>
        </w:tc>
        <w:tc>
          <w:tcPr>
            <w:tcW w:type="dxa" w:w="18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定义对象与接口</w:t>
            </w:r>
          </w:p>
        </w:tc>
        <w:tc>
          <w:tcPr>
            <w:tcW w:type="dxa" w:w="47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拍板预测区域、观测点、标签、时间粒度、API 输出格式。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形成统一字段表与样本张量定义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P1</w:t>
            </w:r>
          </w:p>
        </w:tc>
        <w:tc>
          <w:tcPr>
            <w:tcW w:type="dxa" w:w="18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场景生成</w:t>
            </w:r>
          </w:p>
        </w:tc>
        <w:tc>
          <w:tcPr>
            <w:tcW w:type="dxa" w:w="47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建立正常、拥堵、控制扰动、事故扰动四类场景族；配置批量运行脚本。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能稳定批量产出多场景仿真日志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P2</w:t>
            </w:r>
          </w:p>
        </w:tc>
        <w:tc>
          <w:tcPr>
            <w:tcW w:type="dxa" w:w="18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数据采集与清洗</w:t>
            </w:r>
          </w:p>
        </w:tc>
        <w:tc>
          <w:tcPr>
            <w:tcW w:type="dxa" w:w="47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从探测器与 TraCI 收集 60 s 聚合数据，补齐时间索引，生成训练表。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拿到结构化时序表并完成质检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P3</w:t>
            </w:r>
          </w:p>
        </w:tc>
        <w:tc>
          <w:tcPr>
            <w:tcW w:type="dxa" w:w="18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基线与 V1 模型</w:t>
            </w:r>
          </w:p>
        </w:tc>
        <w:tc>
          <w:tcPr>
            <w:tcW w:type="dxa" w:w="47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实现 HA / XGBoost / LSTM 与拼接式 Transformer，完成首轮对比。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Transformer 至少优于 2 个基线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P4</w:t>
            </w:r>
          </w:p>
        </w:tc>
        <w:tc>
          <w:tcPr>
            <w:tcW w:type="dxa" w:w="18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增强实验</w:t>
            </w:r>
          </w:p>
        </w:tc>
        <w:tc>
          <w:tcPr>
            <w:tcW w:type="dxa" w:w="47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加入控制特征、事件特征、域随机化；必要时升级为时空 Transformer。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在高峰/事故子集上误差稳定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P5</w:t>
            </w:r>
          </w:p>
        </w:tc>
        <w:tc>
          <w:tcPr>
            <w:tcW w:type="dxa" w:w="18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平台联调</w:t>
            </w:r>
          </w:p>
        </w:tc>
        <w:tc>
          <w:tcPr>
            <w:tcW w:type="dxa" w:w="47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封装推理服务，接入信号控制与事故推演流程。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可在平台中完成一次预测—控制—推演闭环演示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i w:val="0"/>
          <w:color w:val="183A63"/>
          <w:sz w:val="30"/>
        </w:rPr>
        <w:t>三、仿真数据生成：先把“数据分布”做对</w:t>
      </w:r>
    </w:p>
    <w:p>
      <w:pPr>
        <w:keepNext w:val="0"/>
        <w:spacing w:before="0" w:after="80" w:line="324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只有仿真数据时，最容易出现的问题不是“模型不够复杂”，而是</w:t>
      </w:r>
      <w:r>
        <w:rPr>
          <w:rFonts w:ascii="Noto Sans CJK SC" w:hAnsi="Noto Sans CJK SC" w:eastAsia="Noto Sans CJK SC" w:cs="Noto Sans CJK SC"/>
          <w:b/>
          <w:i w:val="0"/>
          <w:color w:val="163A63"/>
          <w:sz w:val="21"/>
        </w:rPr>
        <w:t>训练分布过窄</w:t>
      </w:r>
      <w:r>
        <w:rPr>
          <w:rFonts w:ascii="Noto Sans CJK SC" w:hAnsi="Noto Sans CJK SC" w:eastAsia="Noto Sans CJK SC" w:cs="Noto Sans CJK SC"/>
          <w:b w:val="0"/>
          <w:i w:val="0"/>
          <w:sz w:val="21"/>
        </w:rPr>
        <w:t>：模型只会记住一种 demand、一种信号配时、一种行为参数。首期实现必须显式做</w:t>
      </w:r>
      <w:r>
        <w:rPr>
          <w:rFonts w:ascii="Noto Sans CJK SC" w:hAnsi="Noto Sans CJK SC" w:eastAsia="Noto Sans CJK SC" w:cs="Noto Sans CJK SC"/>
          <w:b/>
          <w:i w:val="0"/>
          <w:color w:val="163A63"/>
          <w:sz w:val="21"/>
        </w:rPr>
        <w:t>域随机化（domain randomization）</w:t>
      </w:r>
      <w:r>
        <w:rPr>
          <w:rFonts w:ascii="Noto Sans CJK SC" w:hAnsi="Noto Sans CJK SC" w:eastAsia="Noto Sans CJK SC" w:cs="Noto Sans CJK SC"/>
          <w:b w:val="0"/>
          <w:i w:val="0"/>
          <w:sz w:val="21"/>
        </w:rPr>
        <w:t>，让模型见到足够多的合理扰动。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20"/>
              </w:rPr>
              <w:t>随机化维度</w:t>
            </w:r>
          </w:p>
        </w:tc>
        <w:tc>
          <w:tcPr>
            <w:tcW w:type="dxa" w:w="23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20"/>
              </w:rPr>
              <w:t>建议做法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20"/>
              </w:rPr>
              <w:t>可调参数举例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20"/>
              </w:rPr>
              <w:t>优先级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需求强度</w:t>
            </w:r>
          </w:p>
        </w:tc>
        <w:tc>
          <w:tcPr>
            <w:tcW w:type="dxa" w:w="23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按时段与方向随机缩放流量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总流量 ±10%～30%；主辅路不均衡系数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高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行为参数</w:t>
            </w:r>
          </w:p>
        </w:tc>
        <w:tc>
          <w:tcPr>
            <w:tcW w:type="dxa" w:w="23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扰动跟驰/变道/期望速度分布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desiredSpeed、tau、laneChange aggressiveness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高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信号控制</w:t>
            </w:r>
          </w:p>
        </w:tc>
        <w:tc>
          <w:tcPr>
            <w:tcW w:type="dxa" w:w="23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切换周期、绿信比、相位策略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cycle、split、offset、相位顺序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高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事故事件</w:t>
            </w:r>
          </w:p>
        </w:tc>
        <w:tc>
          <w:tcPr>
            <w:tcW w:type="dxa" w:w="23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加入车道封闭、容量下降、匝道扰动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封闭 1 条车道、持续 5/10/15 分钟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高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传感噪声</w:t>
            </w:r>
          </w:p>
        </w:tc>
        <w:tc>
          <w:tcPr>
            <w:tcW w:type="dxa" w:w="23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模拟采集误差与缺失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高斯噪声、随机缺测、延迟上报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中</w:t>
            </w:r>
          </w:p>
        </w:tc>
      </w:tr>
    </w:tbl>
    <w:p>
      <w:pPr>
        <w:keepNext w:val="0"/>
        <w:spacing w:before="80" w:after="40" w:line="324" w:lineRule="auto"/>
      </w:pPr>
      <w:r>
        <w:rPr>
          <w:rFonts w:ascii="Noto Sans CJK SC" w:hAnsi="Noto Sans CJK SC" w:eastAsia="Noto Sans CJK SC" w:cs="Noto Sans CJK SC"/>
          <w:b/>
          <w:i w:val="0"/>
          <w:color w:val="163A63"/>
          <w:sz w:val="22"/>
        </w:rPr>
        <w:t>建议的场景族设计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9"/>
              </w:rPr>
              <w:t>场景族</w:t>
            </w:r>
          </w:p>
        </w:tc>
        <w:tc>
          <w:tcPr>
            <w:tcW w:type="dxa" w:w="23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9"/>
              </w:rPr>
              <w:t>说明</w:t>
            </w:r>
          </w:p>
        </w:tc>
        <w:tc>
          <w:tcPr>
            <w:tcW w:type="dxa" w:w="40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9"/>
              </w:rPr>
              <w:t>至少覆盖的组合</w:t>
            </w:r>
          </w:p>
        </w:tc>
        <w:tc>
          <w:tcPr>
            <w:tcW w:type="dxa" w:w="12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9"/>
              </w:rPr>
              <w:t>种子数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S1 正常流</w:t>
            </w:r>
          </w:p>
        </w:tc>
        <w:tc>
          <w:tcPr>
            <w:tcW w:type="dxa" w:w="23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中等流量、稳定配时</w:t>
            </w:r>
          </w:p>
        </w:tc>
        <w:tc>
          <w:tcPr>
            <w:tcW w:type="dxa" w:w="40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平峰 / 一般高峰</w:t>
            </w:r>
          </w:p>
        </w:tc>
        <w:tc>
          <w:tcPr>
            <w:tcW w:type="dxa" w:w="12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≥10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S2 拥堵流</w:t>
            </w:r>
          </w:p>
        </w:tc>
        <w:tc>
          <w:tcPr>
            <w:tcW w:type="dxa" w:w="23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需求上升、瓶颈明显</w:t>
            </w:r>
          </w:p>
        </w:tc>
        <w:tc>
          <w:tcPr>
            <w:tcW w:type="dxa" w:w="40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主线高峰 / 匝道高峰 / 双高峰</w:t>
            </w:r>
          </w:p>
        </w:tc>
        <w:tc>
          <w:tcPr>
            <w:tcW w:type="dxa" w:w="12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≥10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S3 控制扰动</w:t>
            </w:r>
          </w:p>
        </w:tc>
        <w:tc>
          <w:tcPr>
            <w:tcW w:type="dxa" w:w="23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同需求下切换不同配时或策略</w:t>
            </w:r>
          </w:p>
        </w:tc>
        <w:tc>
          <w:tcPr>
            <w:tcW w:type="dxa" w:w="40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固定配时 A/B、相位微调</w:t>
            </w:r>
          </w:p>
        </w:tc>
        <w:tc>
          <w:tcPr>
            <w:tcW w:type="dxa" w:w="12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≥8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S4 事故扰动</w:t>
            </w:r>
          </w:p>
        </w:tc>
        <w:tc>
          <w:tcPr>
            <w:tcW w:type="dxa" w:w="23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加入车道封闭或容量跌落</w:t>
            </w:r>
          </w:p>
        </w:tc>
        <w:tc>
          <w:tcPr>
            <w:tcW w:type="dxa" w:w="40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主线事故 / 匝道事故 / 路口异常</w:t>
            </w:r>
          </w:p>
        </w:tc>
        <w:tc>
          <w:tcPr>
            <w:tcW w:type="dxa" w:w="12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≥10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S5 传感异常</w:t>
            </w:r>
          </w:p>
        </w:tc>
        <w:tc>
          <w:tcPr>
            <w:tcW w:type="dxa" w:w="23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对输出再加噪声、缺测</w:t>
            </w:r>
          </w:p>
        </w:tc>
        <w:tc>
          <w:tcPr>
            <w:tcW w:type="dxa" w:w="40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缺测 5% / 10%，噪声强弱两档</w:t>
            </w:r>
          </w:p>
        </w:tc>
        <w:tc>
          <w:tcPr>
            <w:tcW w:type="dxa" w:w="12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≥6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i w:val="0"/>
          <w:color w:val="183A63"/>
          <w:sz w:val="30"/>
        </w:rPr>
        <w:t>四、数据采集与样本构建</w:t>
      </w:r>
    </w:p>
    <w:p>
      <w:pPr>
        <w:keepNext w:val="0"/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sz w:val="22"/>
        </w:rPr>
        <w:t>这一部分决定后面模型能不能训练顺畅。建议先把所有输出统一整理为“长表 + 滑窗样本”两层结构：先存原始时序长表，再离线切成训练样本。</w:t>
      </w:r>
    </w:p>
    <w:p>
      <w:pPr>
        <w:keepNext w:val="0"/>
        <w:spacing w:before="0" w:after="40" w:line="324" w:lineRule="auto"/>
      </w:pPr>
      <w:r>
        <w:rPr>
          <w:rFonts w:ascii="Noto Sans CJK SC" w:hAnsi="Noto Sans CJK SC" w:eastAsia="Noto Sans CJK SC" w:cs="Noto Sans CJK SC"/>
          <w:b/>
          <w:i w:val="0"/>
          <w:color w:val="214E7A"/>
          <w:sz w:val="22"/>
        </w:rPr>
        <w:t>4.1 建议采集字段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9"/>
              </w:rPr>
              <w:t>字段类别</w:t>
            </w:r>
          </w:p>
        </w:tc>
        <w:tc>
          <w:tcPr>
            <w:tcW w:type="dxa" w:w="28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9"/>
              </w:rPr>
              <w:t>字段建议</w:t>
            </w:r>
          </w:p>
        </w:tc>
        <w:tc>
          <w:tcPr>
            <w:tcW w:type="dxa" w:w="3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9"/>
              </w:rPr>
              <w:t>用途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9"/>
              </w:rPr>
              <w:t>是否首期必需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状态特征</w:t>
            </w:r>
          </w:p>
        </w:tc>
        <w:tc>
          <w:tcPr>
            <w:tcW w:type="dxa" w:w="28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flow、speed、occupancy、queue_length</w:t>
            </w:r>
          </w:p>
        </w:tc>
        <w:tc>
          <w:tcPr>
            <w:tcW w:type="dxa" w:w="3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核心输入与标签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是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控制特征</w:t>
            </w:r>
          </w:p>
        </w:tc>
        <w:tc>
          <w:tcPr>
            <w:tcW w:type="dxa" w:w="28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phase_id、phase_elapsed、green_remaining</w:t>
            </w:r>
          </w:p>
        </w:tc>
        <w:tc>
          <w:tcPr>
            <w:tcW w:type="dxa" w:w="3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让模型知道当前控制状态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是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上下文特征</w:t>
            </w:r>
          </w:p>
        </w:tc>
        <w:tc>
          <w:tcPr>
            <w:tcW w:type="dxa" w:w="28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time_of_day、weekday_flag、scenario_id</w:t>
            </w:r>
          </w:p>
        </w:tc>
        <w:tc>
          <w:tcPr>
            <w:tcW w:type="dxa" w:w="3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让模型区分不同场景簇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是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事件特征</w:t>
            </w:r>
          </w:p>
        </w:tc>
        <w:tc>
          <w:tcPr>
            <w:tcW w:type="dxa" w:w="28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incident_flag、blocked_lane_num、capacity_drop</w:t>
            </w:r>
          </w:p>
        </w:tc>
        <w:tc>
          <w:tcPr>
            <w:tcW w:type="dxa" w:w="3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事故场景预测与鲁棒性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是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行为特征</w:t>
            </w:r>
          </w:p>
        </w:tc>
        <w:tc>
          <w:tcPr>
            <w:tcW w:type="dxa" w:w="28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lane_change_count、merge_count、desired_speed_mean</w:t>
            </w:r>
          </w:p>
        </w:tc>
        <w:tc>
          <w:tcPr>
            <w:tcW w:type="dxa" w:w="3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强化“高保真”差异化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建议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质量特征</w:t>
            </w:r>
          </w:p>
        </w:tc>
        <w:tc>
          <w:tcPr>
            <w:tcW w:type="dxa" w:w="28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missing_mask、noise_level</w:t>
            </w:r>
          </w:p>
        </w:tc>
        <w:tc>
          <w:tcPr>
            <w:tcW w:type="dxa" w:w="3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让模型适应仿真传感噪声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建议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标签</w:t>
            </w:r>
          </w:p>
        </w:tc>
        <w:tc>
          <w:tcPr>
            <w:tcW w:type="dxa" w:w="28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future_flow / future_speed / future_queue</w:t>
            </w:r>
          </w:p>
        </w:tc>
        <w:tc>
          <w:tcPr>
            <w:tcW w:type="dxa" w:w="3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多步预测目标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是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元数据</w:t>
            </w:r>
          </w:p>
        </w:tc>
        <w:tc>
          <w:tcPr>
            <w:tcW w:type="dxa" w:w="28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run_id、seed、detector_id</w:t>
            </w:r>
          </w:p>
        </w:tc>
        <w:tc>
          <w:tcPr>
            <w:tcW w:type="dxa" w:w="3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分割数据集与追踪来源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是</w:t>
            </w:r>
          </w:p>
        </w:tc>
      </w:tr>
    </w:tbl>
    <w:p>
      <w:r>
        <w:br w:type="page"/>
      </w:r>
    </w:p>
    <w:p>
      <w:pPr>
        <w:keepNext w:val="0"/>
        <w:spacing w:before="100" w:after="40" w:line="324" w:lineRule="auto"/>
      </w:pPr>
      <w:r>
        <w:rPr>
          <w:rFonts w:ascii="Noto Sans CJK SC" w:hAnsi="Noto Sans CJK SC" w:eastAsia="Noto Sans CJK SC" w:cs="Noto Sans CJK SC"/>
          <w:b/>
          <w:i w:val="0"/>
          <w:color w:val="214E7A"/>
          <w:sz w:val="22"/>
        </w:rPr>
        <w:t>4.2 样本张量定义（建议先做 V1，再升级 V2）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9"/>
              </w:rPr>
              <w:t>版本</w:t>
            </w:r>
          </w:p>
        </w:tc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9"/>
              </w:rPr>
              <w:t>输入张量</w:t>
            </w:r>
          </w:p>
        </w:tc>
        <w:tc>
          <w:tcPr>
            <w:tcW w:type="dxa" w:w="36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9"/>
              </w:rPr>
              <w:t>适用场景</w:t>
            </w:r>
          </w:p>
        </w:tc>
        <w:tc>
          <w:tcPr>
            <w:tcW w:type="dxa" w:w="215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9"/>
              </w:rPr>
              <w:t>建议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V1</w:t>
            </w:r>
          </w:p>
        </w:tc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X ∈ [B, L, F_total]</w:t>
            </w:r>
          </w:p>
        </w:tc>
        <w:tc>
          <w:tcPr>
            <w:tcW w:type="dxa" w:w="36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关键观测点不多（4–8 个），希望先快速落地</w:t>
            </w:r>
          </w:p>
        </w:tc>
        <w:tc>
          <w:tcPr>
            <w:tcW w:type="dxa" w:w="215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把所有节点特征拼接成一个向量，训练和部署最简单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V2</w:t>
            </w:r>
          </w:p>
        </w:tc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X ∈ [B, L, N, F_node]</w:t>
            </w:r>
          </w:p>
        </w:tc>
        <w:tc>
          <w:tcPr>
            <w:tcW w:type="dxa" w:w="36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希望保留空间结构，后续写作亮点更强</w:t>
            </w:r>
          </w:p>
        </w:tc>
        <w:tc>
          <w:tcPr>
            <w:tcW w:type="dxa" w:w="215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在 V1 稳定后升级为时空 Transformer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Y</w:t>
            </w:r>
          </w:p>
        </w:tc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Y ∈ [B, H, O]</w:t>
            </w:r>
          </w:p>
        </w:tc>
        <w:tc>
          <w:tcPr>
            <w:tcW w:type="dxa" w:w="36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O = 节点数 × 目标数</w:t>
            </w:r>
          </w:p>
        </w:tc>
        <w:tc>
          <w:tcPr>
            <w:tcW w:type="dxa" w:w="215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建议一次直接输出未来 15 步，避免自回归误差累积</w:t>
            </w:r>
          </w:p>
        </w:tc>
      </w:tr>
    </w:tbl>
    <w:p>
      <w:pPr>
        <w:keepNext w:val="0"/>
        <w:spacing w:before="100" w:after="40" w:line="324" w:lineRule="auto"/>
      </w:pPr>
      <w:r>
        <w:rPr>
          <w:rFonts w:ascii="Noto Sans CJK SC" w:hAnsi="Noto Sans CJK SC" w:eastAsia="Noto Sans CJK SC" w:cs="Noto Sans CJK SC"/>
          <w:b/>
          <w:i w:val="0"/>
          <w:color w:val="214E7A"/>
          <w:sz w:val="22"/>
        </w:rPr>
        <w:t>4.3 首期推荐的数据切分规则</w:t>
      </w:r>
    </w:p>
    <w:p>
      <w:pPr>
        <w:pStyle w:val="ListBullet"/>
        <w:spacing w:after="20" w:line="300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不要按滑窗后的样本随机切分；要按 run_id / seed / 场景族 切分，避免同一条仿真轨迹泄漏到训练集和测试集。</w:t>
      </w:r>
    </w:p>
    <w:p>
      <w:pPr>
        <w:pStyle w:val="ListBullet"/>
        <w:spacing w:after="20" w:line="300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训练 / 验证 / 测试建议按仿真运行批次切分为 70% / 15% / 15%。</w:t>
      </w:r>
    </w:p>
    <w:p>
      <w:pPr>
        <w:pStyle w:val="ListBullet"/>
        <w:spacing w:after="20" w:line="300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测试集必须包含“未见过的事故组合”或“未见过的配时组合”，这样才有说服力。</w:t>
      </w:r>
    </w:p>
    <w:p>
      <w:pPr>
        <w:keepNext w:val="0"/>
        <w:spacing w:before="100" w:after="40" w:line="324" w:lineRule="auto"/>
      </w:pPr>
      <w:r>
        <w:rPr>
          <w:rFonts w:ascii="Noto Sans CJK SC" w:hAnsi="Noto Sans CJK SC" w:eastAsia="Noto Sans CJK SC" w:cs="Noto Sans CJK SC"/>
          <w:b/>
          <w:i w:val="0"/>
          <w:color w:val="214E7A"/>
          <w:sz w:val="22"/>
        </w:rPr>
        <w:t>4.4 建议的样本规模底线</w:t>
      </w:r>
    </w:p>
    <w:p>
      <w:pPr>
        <w:keepNext w:val="0"/>
        <w:spacing w:before="0" w:after="80" w:line="324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 xml:space="preserve">如果采样周期为 60 s，单次有效仿真 90 分钟，输入窗口 L=12，预测窗口 H=15，则单次运行约可产生 </w:t>
      </w:r>
      <w:r>
        <w:rPr>
          <w:rFonts w:ascii="Noto Sans CJK SC" w:hAnsi="Noto Sans CJK SC" w:eastAsia="Noto Sans CJK SC" w:cs="Noto Sans CJK SC"/>
          <w:b/>
          <w:i w:val="0"/>
          <w:color w:val="163A63"/>
          <w:sz w:val="21"/>
        </w:rPr>
        <w:t>90 - 12 - 15 + 1 = 64</w:t>
      </w:r>
      <w:r>
        <w:rPr>
          <w:rFonts w:ascii="Noto Sans CJK SC" w:hAnsi="Noto Sans CJK SC" w:eastAsia="Noto Sans CJK SC" w:cs="Noto Sans CJK SC"/>
          <w:b w:val="0"/>
          <w:i w:val="0"/>
          <w:sz w:val="21"/>
        </w:rPr>
        <w:t xml:space="preserve"> 个可用滑窗样本。若有 </w:t>
      </w:r>
      <w:r>
        <w:rPr>
          <w:rFonts w:ascii="Noto Sans CJK SC" w:hAnsi="Noto Sans CJK SC" w:eastAsia="Noto Sans CJK SC" w:cs="Noto Sans CJK SC"/>
          <w:b/>
          <w:i w:val="0"/>
          <w:color w:val="163A63"/>
          <w:sz w:val="21"/>
        </w:rPr>
        <w:t>6 个场景族 × 每族 10 个随机种子</w:t>
      </w:r>
      <w:r>
        <w:rPr>
          <w:rFonts w:ascii="Noto Sans CJK SC" w:hAnsi="Noto Sans CJK SC" w:eastAsia="Noto Sans CJK SC" w:cs="Noto Sans CJK SC"/>
          <w:b w:val="0"/>
          <w:i w:val="0"/>
          <w:sz w:val="21"/>
        </w:rPr>
        <w:t xml:space="preserve">，则样本量约为 </w:t>
      </w:r>
      <w:r>
        <w:rPr>
          <w:rFonts w:ascii="Noto Sans CJK SC" w:hAnsi="Noto Sans CJK SC" w:eastAsia="Noto Sans CJK SC" w:cs="Noto Sans CJK SC"/>
          <w:b/>
          <w:i w:val="0"/>
          <w:color w:val="163A63"/>
          <w:sz w:val="21"/>
        </w:rPr>
        <w:t>6 × 10 × 64 = 3840</w:t>
      </w:r>
      <w:r>
        <w:rPr>
          <w:rFonts w:ascii="Noto Sans CJK SC" w:hAnsi="Noto Sans CJK SC" w:eastAsia="Noto Sans CJK SC" w:cs="Noto Sans CJK SC"/>
          <w:b w:val="0"/>
          <w:i w:val="0"/>
          <w:sz w:val="21"/>
        </w:rPr>
        <w:t xml:space="preserve"> 组。首期建议把目标提高到 </w:t>
      </w:r>
      <w:r>
        <w:rPr>
          <w:rFonts w:ascii="Noto Sans CJK SC" w:hAnsi="Noto Sans CJK SC" w:eastAsia="Noto Sans CJK SC" w:cs="Noto Sans CJK SC"/>
          <w:b/>
          <w:i w:val="0"/>
          <w:color w:val="163A63"/>
          <w:sz w:val="21"/>
        </w:rPr>
        <w:t>1 万组以上</w:t>
      </w:r>
      <w:r>
        <w:rPr>
          <w:rFonts w:ascii="Noto Sans CJK SC" w:hAnsi="Noto Sans CJK SC" w:eastAsia="Noto Sans CJK SC" w:cs="Noto Sans CJK SC"/>
          <w:b w:val="0"/>
          <w:i w:val="0"/>
          <w:sz w:val="21"/>
        </w:rPr>
        <w:t>，方法是增加运行时长、场景组合和随机种子。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i w:val="0"/>
          <w:color w:val="183A63"/>
          <w:sz w:val="30"/>
        </w:rPr>
        <w:t>五、Transformer 建模路线：先 V1，后 V2</w:t>
      </w:r>
    </w:p>
    <w:p>
      <w:pPr>
        <w:keepNext w:val="0"/>
        <w:spacing w:before="0" w:after="80" w:line="324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首版不要一上来做很重的空间—时间双注意力结构。对于局部瓶颈区、观测点数量较少的场景，</w:t>
      </w:r>
      <w:r>
        <w:rPr>
          <w:rFonts w:ascii="Noto Sans CJK SC" w:hAnsi="Noto Sans CJK SC" w:eastAsia="Noto Sans CJK SC" w:cs="Noto Sans CJK SC"/>
          <w:b/>
          <w:i w:val="0"/>
          <w:color w:val="163A63"/>
          <w:sz w:val="21"/>
        </w:rPr>
        <w:t>先用拼接式多变量 Transformer 跑通端到端闭环</w:t>
      </w:r>
      <w:r>
        <w:rPr>
          <w:rFonts w:ascii="Noto Sans CJK SC" w:hAnsi="Noto Sans CJK SC" w:eastAsia="Noto Sans CJK SC" w:cs="Noto Sans CJK SC"/>
          <w:b w:val="0"/>
          <w:i w:val="0"/>
          <w:sz w:val="21"/>
        </w:rPr>
        <w:t>，更容易拿到稳定结果和可解释的 ablation。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90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9"/>
              </w:rPr>
              <w:t>版本</w:t>
            </w:r>
          </w:p>
        </w:tc>
        <w:tc>
          <w:tcPr>
            <w:tcW w:type="dxa" w:w="18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9"/>
              </w:rPr>
              <w:t>结构概念</w:t>
            </w:r>
          </w:p>
        </w:tc>
        <w:tc>
          <w:tcPr>
            <w:tcW w:type="dxa" w:w="28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9"/>
              </w:rPr>
              <w:t>核心输入</w:t>
            </w:r>
          </w:p>
        </w:tc>
        <w:tc>
          <w:tcPr>
            <w:tcW w:type="dxa" w:w="26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9"/>
              </w:rPr>
              <w:t>优点</w:t>
            </w:r>
          </w:p>
        </w:tc>
        <w:tc>
          <w:tcPr>
            <w:tcW w:type="dxa" w:w="15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9"/>
              </w:rPr>
              <w:t>何时采用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V1</w:t>
            </w:r>
          </w:p>
        </w:tc>
        <w:tc>
          <w:tcPr>
            <w:tcW w:type="dxa" w:w="18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时间 Transformer（节点拼接）</w:t>
            </w:r>
          </w:p>
        </w:tc>
        <w:tc>
          <w:tcPr>
            <w:tcW w:type="dxa" w:w="28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过去 L 步的多节点交通状态、信号特征、事件特征</w:t>
            </w:r>
          </w:p>
        </w:tc>
        <w:tc>
          <w:tcPr>
            <w:tcW w:type="dxa" w:w="26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实现简单、样本利用率高、部署轻量</w:t>
            </w:r>
          </w:p>
        </w:tc>
        <w:tc>
          <w:tcPr>
            <w:tcW w:type="dxa" w:w="15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首版必做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V2</w:t>
            </w:r>
          </w:p>
        </w:tc>
        <w:tc>
          <w:tcPr>
            <w:tcW w:type="dxa" w:w="18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时空 Transformer（节点嵌入 + 时间注意力）</w:t>
            </w:r>
          </w:p>
        </w:tc>
        <w:tc>
          <w:tcPr>
            <w:tcW w:type="dxa" w:w="28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保留节点维度 N，显式做空间关系建模</w:t>
            </w:r>
          </w:p>
        </w:tc>
        <w:tc>
          <w:tcPr>
            <w:tcW w:type="dxa" w:w="26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论文表达更强，对空间传播更友好</w:t>
            </w:r>
          </w:p>
        </w:tc>
        <w:tc>
          <w:tcPr>
            <w:tcW w:type="dxa" w:w="15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9"/>
              </w:rPr>
              <w:t>V1 稳定后</w:t>
            </w:r>
          </w:p>
        </w:tc>
      </w:tr>
    </w:tbl>
    <w:p>
      <w:pPr>
        <w:keepNext w:val="0"/>
        <w:spacing w:before="100" w:after="40" w:line="324" w:lineRule="auto"/>
      </w:pPr>
      <w:r>
        <w:rPr>
          <w:rFonts w:ascii="Noto Sans CJK SC" w:hAnsi="Noto Sans CJK SC" w:eastAsia="Noto Sans CJK SC" w:cs="Noto Sans CJK SC"/>
          <w:b/>
          <w:i w:val="0"/>
          <w:color w:val="214E7A"/>
          <w:sz w:val="22"/>
        </w:rPr>
        <w:t>5.1 V1 推荐结构（首版落地方案）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247"/>
            <w:tcMar>
              <w:top w:w="100" w:type="dxa"/>
              <w:start w:w="70" w:type="dxa"/>
              <w:bottom w:w="100" w:type="dxa"/>
              <w:end w:w="70" w:type="dxa"/>
            </w:tcMar>
            <w:shd w:fill="EEF4FA"/>
            <w:tcBorders>
              <w:left w:val="single" w:sz="8" w:color="C6D8EB"/>
              <w:top w:val="single" w:sz="8" w:color="C6D8EB"/>
              <w:right w:val="single" w:sz="8" w:color="C6D8EB"/>
              <w:bottom w:val="single" w:sz="8" w:color="C6D8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63A63"/>
                <w:sz w:val="19"/>
              </w:rPr>
              <w:t>输入投影</w:t>
            </w:r>
          </w:p>
        </w:tc>
        <w:tc>
          <w:tcPr>
            <w:tcW w:type="dxa" w:w="255"/>
            <w:tcMar>
              <w:top w:w="100" w:type="dxa"/>
              <w:start w:w="70" w:type="dxa"/>
              <w:bottom w:w="100" w:type="dxa"/>
              <w:end w:w="7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6D89A7"/>
                <w:sz w:val="24"/>
              </w:rPr>
              <w:t>→</w:t>
            </w:r>
          </w:p>
        </w:tc>
        <w:tc>
          <w:tcPr>
            <w:tcW w:type="dxa" w:w="1247"/>
            <w:tcMar>
              <w:top w:w="100" w:type="dxa"/>
              <w:start w:w="70" w:type="dxa"/>
              <w:bottom w:w="100" w:type="dxa"/>
              <w:end w:w="70" w:type="dxa"/>
            </w:tcMar>
            <w:shd w:fill="EEF4FA"/>
            <w:tcBorders>
              <w:left w:val="single" w:sz="8" w:color="C6D8EB"/>
              <w:top w:val="single" w:sz="8" w:color="C6D8EB"/>
              <w:right w:val="single" w:sz="8" w:color="C6D8EB"/>
              <w:bottom w:val="single" w:sz="8" w:color="C6D8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63A63"/>
                <w:sz w:val="19"/>
              </w:rPr>
              <w:t>位置/时间嵌入</w:t>
            </w:r>
          </w:p>
        </w:tc>
        <w:tc>
          <w:tcPr>
            <w:tcW w:type="dxa" w:w="255"/>
            <w:tcMar>
              <w:top w:w="100" w:type="dxa"/>
              <w:start w:w="70" w:type="dxa"/>
              <w:bottom w:w="100" w:type="dxa"/>
              <w:end w:w="7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6D89A7"/>
                <w:sz w:val="24"/>
              </w:rPr>
              <w:t>→</w:t>
            </w:r>
          </w:p>
        </w:tc>
        <w:tc>
          <w:tcPr>
            <w:tcW w:type="dxa" w:w="1417"/>
            <w:tcMar>
              <w:top w:w="100" w:type="dxa"/>
              <w:start w:w="70" w:type="dxa"/>
              <w:bottom w:w="100" w:type="dxa"/>
              <w:end w:w="70" w:type="dxa"/>
            </w:tcMar>
            <w:shd w:fill="EEF4FA"/>
            <w:tcBorders>
              <w:left w:val="single" w:sz="8" w:color="C6D8EB"/>
              <w:top w:val="single" w:sz="8" w:color="C6D8EB"/>
              <w:right w:val="single" w:sz="8" w:color="C6D8EB"/>
              <w:bottom w:val="single" w:sz="8" w:color="C6D8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63A63"/>
                <w:sz w:val="19"/>
              </w:rPr>
              <w:t>3–4 层 Encoder</w:t>
            </w:r>
          </w:p>
        </w:tc>
        <w:tc>
          <w:tcPr>
            <w:tcW w:type="dxa" w:w="255"/>
            <w:tcMar>
              <w:top w:w="100" w:type="dxa"/>
              <w:start w:w="70" w:type="dxa"/>
              <w:bottom w:w="100" w:type="dxa"/>
              <w:end w:w="7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6D89A7"/>
                <w:sz w:val="24"/>
              </w:rPr>
              <w:t>→</w:t>
            </w:r>
          </w:p>
        </w:tc>
        <w:tc>
          <w:tcPr>
            <w:tcW w:type="dxa" w:w="1474"/>
            <w:tcMar>
              <w:top w:w="100" w:type="dxa"/>
              <w:start w:w="70" w:type="dxa"/>
              <w:bottom w:w="100" w:type="dxa"/>
              <w:end w:w="70" w:type="dxa"/>
            </w:tcMar>
            <w:shd w:fill="EEF4FA"/>
            <w:tcBorders>
              <w:left w:val="single" w:sz="8" w:color="C6D8EB"/>
              <w:top w:val="single" w:sz="8" w:color="C6D8EB"/>
              <w:right w:val="single" w:sz="8" w:color="C6D8EB"/>
              <w:bottom w:val="single" w:sz="8" w:color="C6D8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63A63"/>
                <w:sz w:val="19"/>
              </w:rPr>
              <w:t>MLP 预测头</w:t>
            </w:r>
          </w:p>
        </w:tc>
        <w:tc>
          <w:tcPr>
            <w:tcW w:type="dxa" w:w="255"/>
            <w:tcMar>
              <w:top w:w="100" w:type="dxa"/>
              <w:start w:w="70" w:type="dxa"/>
              <w:bottom w:w="100" w:type="dxa"/>
              <w:end w:w="7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6D89A7"/>
                <w:sz w:val="24"/>
              </w:rPr>
              <w:t>→</w:t>
            </w:r>
          </w:p>
        </w:tc>
        <w:tc>
          <w:tcPr>
            <w:tcW w:type="dxa" w:w="1417"/>
            <w:tcMar>
              <w:top w:w="100" w:type="dxa"/>
              <w:start w:w="70" w:type="dxa"/>
              <w:bottom w:w="100" w:type="dxa"/>
              <w:end w:w="70" w:type="dxa"/>
            </w:tcMar>
            <w:shd w:fill="EEF4FA"/>
            <w:tcBorders>
              <w:left w:val="single" w:sz="8" w:color="C6D8EB"/>
              <w:top w:val="single" w:sz="8" w:color="C6D8EB"/>
              <w:right w:val="single" w:sz="8" w:color="C6D8EB"/>
              <w:bottom w:val="single" w:sz="8" w:color="C6D8EB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63A63"/>
                <w:sz w:val="19"/>
              </w:rPr>
              <w:t>未来 H 步输出</w:t>
            </w:r>
          </w:p>
        </w:tc>
      </w:tr>
    </w:tbl>
    <w:p>
      <w:pPr>
        <w:pStyle w:val="ListBullet"/>
        <w:spacing w:after="20" w:line="300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输入张量：X ∈ [B, L, F_total]，其中 F_total = 所有观测点状态特征拼接 + 控制特征 + 事件特征 + 时间上下文。</w:t>
      </w:r>
    </w:p>
    <w:p>
      <w:pPr>
        <w:pStyle w:val="ListBullet"/>
        <w:spacing w:after="20" w:line="300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输出张量：Y ∈ [B, H, O]，O = 节点数 × 目标数；建议直接多步输出，而不是逐步滚动预测。</w:t>
      </w:r>
    </w:p>
    <w:p>
      <w:pPr>
        <w:pStyle w:val="ListBullet"/>
        <w:spacing w:after="20" w:line="300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时间编码：建议同时加入绝对位置编码和 time-of-day 的周期编码（sin/cos）。</w:t>
      </w:r>
    </w:p>
    <w:p>
      <w:pPr>
        <w:pStyle w:val="ListBullet"/>
        <w:spacing w:after="20" w:line="300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节点标识：即使 V1 把节点拼接，也建议为每个节点保留固定顺序，并在字段映射表中锁定。</w:t>
      </w:r>
    </w:p>
    <w:p>
      <w:pPr>
        <w:keepNext w:val="0"/>
        <w:spacing w:before="100" w:after="40" w:line="324" w:lineRule="auto"/>
      </w:pPr>
      <w:r>
        <w:rPr>
          <w:rFonts w:ascii="Noto Sans CJK SC" w:hAnsi="Noto Sans CJK SC" w:eastAsia="Noto Sans CJK SC" w:cs="Noto Sans CJK SC"/>
          <w:b/>
          <w:i w:val="0"/>
          <w:color w:val="214E7A"/>
          <w:sz w:val="22"/>
        </w:rPr>
        <w:t>5.2 推荐损失函数与训练策略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20"/>
              </w:rPr>
              <w:t>部分</w:t>
            </w:r>
          </w:p>
        </w:tc>
        <w:tc>
          <w:tcPr>
            <w:tcW w:type="dxa" w:w="28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20"/>
              </w:rPr>
              <w:t>建议</w:t>
            </w:r>
          </w:p>
        </w:tc>
        <w:tc>
          <w:tcPr>
            <w:tcW w:type="dxa" w:w="40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20"/>
              </w:rPr>
              <w:t>说明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主损失</w:t>
            </w:r>
          </w:p>
        </w:tc>
        <w:tc>
          <w:tcPr>
            <w:tcW w:type="dxa" w:w="28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Huber / MAE</w:t>
            </w:r>
          </w:p>
        </w:tc>
        <w:tc>
          <w:tcPr>
            <w:tcW w:type="dxa" w:w="40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比 MSE 更稳，面对事故尖峰不容易被极端值拖偏。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多目标权重</w:t>
            </w:r>
          </w:p>
        </w:tc>
        <w:tc>
          <w:tcPr>
            <w:tcW w:type="dxa" w:w="28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flow : speed : queue = 0.4 : 0.2 : 0.4</w:t>
            </w:r>
          </w:p>
        </w:tc>
        <w:tc>
          <w:tcPr>
            <w:tcW w:type="dxa" w:w="40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排队长度与控制联动最强，建议提高权重。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高峰/事故加权</w:t>
            </w:r>
          </w:p>
        </w:tc>
        <w:tc>
          <w:tcPr>
            <w:tcW w:type="dxa" w:w="28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对 peak / incident 样本乘 1.2–1.5</w:t>
            </w:r>
          </w:p>
        </w:tc>
        <w:tc>
          <w:tcPr>
            <w:tcW w:type="dxa" w:w="40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避免模型在“平均场景”上看起来很好、关键场景却失效。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输出方式</w:t>
            </w:r>
          </w:p>
        </w:tc>
        <w:tc>
          <w:tcPr>
            <w:tcW w:type="dxa" w:w="28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直接多步输出</w:t>
            </w:r>
          </w:p>
        </w:tc>
        <w:tc>
          <w:tcPr>
            <w:tcW w:type="dxa" w:w="40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减少自回归累积误差，更适合短时多步预测。</w:t>
            </w:r>
          </w:p>
        </w:tc>
      </w:tr>
    </w:tbl>
    <w:p>
      <w:pPr>
        <w:keepNext w:val="0"/>
        <w:spacing w:before="80" w:after="40" w:line="324" w:lineRule="auto"/>
      </w:pPr>
      <w:r>
        <w:rPr>
          <w:rFonts w:ascii="Noto Sans CJK SC" w:hAnsi="Noto Sans CJK SC" w:eastAsia="Noto Sans CJK SC" w:cs="Noto Sans CJK SC"/>
          <w:b/>
          <w:i w:val="0"/>
          <w:color w:val="214E7A"/>
          <w:sz w:val="22"/>
        </w:rPr>
        <w:t>5.3 首版超参数默认值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20"/>
              </w:rPr>
              <w:t>超参数</w:t>
            </w:r>
          </w:p>
        </w:tc>
        <w:tc>
          <w:tcPr>
            <w:tcW w:type="dxa" w:w="19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20"/>
              </w:rPr>
              <w:t>建议值</w:t>
            </w:r>
          </w:p>
        </w:tc>
        <w:tc>
          <w:tcPr>
            <w:tcW w:type="dxa" w:w="51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20"/>
              </w:rPr>
              <w:t>备注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d_model</w:t>
            </w:r>
          </w:p>
        </w:tc>
        <w:tc>
          <w:tcPr>
            <w:tcW w:type="dxa" w:w="19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128</w:t>
            </w:r>
          </w:p>
        </w:tc>
        <w:tc>
          <w:tcPr>
            <w:tcW w:type="dxa" w:w="51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首版够用；若过拟合严重，不要先加大模型。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n_heads</w:t>
            </w:r>
          </w:p>
        </w:tc>
        <w:tc>
          <w:tcPr>
            <w:tcW w:type="dxa" w:w="19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4</w:t>
            </w:r>
          </w:p>
        </w:tc>
        <w:tc>
          <w:tcPr>
            <w:tcW w:type="dxa" w:w="51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与 d_model 搭配稳妥。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encoder layers</w:t>
            </w:r>
          </w:p>
        </w:tc>
        <w:tc>
          <w:tcPr>
            <w:tcW w:type="dxa" w:w="19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3–4</w:t>
            </w:r>
          </w:p>
        </w:tc>
        <w:tc>
          <w:tcPr>
            <w:tcW w:type="dxa" w:w="51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先做 3 层，如欠拟合再升到 4 层。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dropout</w:t>
            </w:r>
          </w:p>
        </w:tc>
        <w:tc>
          <w:tcPr>
            <w:tcW w:type="dxa" w:w="19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0.1</w:t>
            </w:r>
          </w:p>
        </w:tc>
        <w:tc>
          <w:tcPr>
            <w:tcW w:type="dxa" w:w="51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仅仿真数据时建议保留轻度正则。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batch size</w:t>
            </w:r>
          </w:p>
        </w:tc>
        <w:tc>
          <w:tcPr>
            <w:tcW w:type="dxa" w:w="19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64</w:t>
            </w:r>
          </w:p>
        </w:tc>
        <w:tc>
          <w:tcPr>
            <w:tcW w:type="dxa" w:w="51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视显存和样本长度调整。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optimizer</w:t>
            </w:r>
          </w:p>
        </w:tc>
        <w:tc>
          <w:tcPr>
            <w:tcW w:type="dxa" w:w="19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AdamW</w:t>
            </w:r>
          </w:p>
        </w:tc>
        <w:tc>
          <w:tcPr>
            <w:tcW w:type="dxa" w:w="51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学习率建议 1e-3 起步。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epochs</w:t>
            </w:r>
          </w:p>
        </w:tc>
        <w:tc>
          <w:tcPr>
            <w:tcW w:type="dxa" w:w="19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50–80</w:t>
            </w:r>
          </w:p>
        </w:tc>
        <w:tc>
          <w:tcPr>
            <w:tcW w:type="dxa" w:w="51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20"/>
              </w:rPr>
              <w:t>配合 early stopping；不要盲目拉长。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Noto Sans CJK SC" w:hAnsi="Noto Sans CJK SC" w:eastAsia="Noto Sans CJK SC" w:cs="Noto Sans CJK SC"/>
          <w:b/>
          <w:i w:val="0"/>
          <w:color w:val="183A63"/>
          <w:sz w:val="30"/>
        </w:rPr>
        <w:t>六、实验设计、验收口径与平台联调</w:t>
      </w:r>
    </w:p>
    <w:p>
      <w:pPr>
        <w:keepNext w:val="0"/>
        <w:spacing w:before="0" w:after="80" w:line="324" w:lineRule="auto"/>
      </w:pPr>
      <w:r>
        <w:rPr>
          <w:rFonts w:ascii="Noto Sans CJK SC" w:hAnsi="Noto Sans CJK SC" w:eastAsia="Noto Sans CJK SC" w:cs="Noto Sans CJK SC"/>
          <w:b w:val="0"/>
          <w:i w:val="0"/>
          <w:sz w:val="22"/>
        </w:rPr>
        <w:t>训练过程不要只看整体 MAE，要把“整体 / 高峰 / 事故 / 控制切换”拆开看。数字孪生平台真正关心的是关键场景是否可用，而不是平均误差是否好看。</w:t>
      </w:r>
    </w:p>
    <w:p>
      <w:pPr>
        <w:keepNext w:val="0"/>
        <w:spacing w:before="80" w:after="40" w:line="324" w:lineRule="auto"/>
      </w:pPr>
      <w:r>
        <w:rPr>
          <w:rFonts w:ascii="Noto Sans CJK SC" w:hAnsi="Noto Sans CJK SC" w:eastAsia="Noto Sans CJK SC" w:cs="Noto Sans CJK SC"/>
          <w:b/>
          <w:i w:val="0"/>
          <w:color w:val="214E7A"/>
          <w:sz w:val="22"/>
        </w:rPr>
        <w:t>6.1 必做对比实验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0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8"/>
              </w:rPr>
              <w:t>实验</w:t>
            </w:r>
          </w:p>
        </w:tc>
        <w:tc>
          <w:tcPr>
            <w:tcW w:type="dxa" w:w="249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8"/>
              </w:rPr>
              <w:t>内容</w:t>
            </w:r>
          </w:p>
        </w:tc>
        <w:tc>
          <w:tcPr>
            <w:tcW w:type="dxa" w:w="3969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8"/>
              </w:rPr>
              <w:t>目的</w:t>
            </w:r>
          </w:p>
        </w:tc>
        <w:tc>
          <w:tcPr>
            <w:tcW w:type="dxa" w:w="175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8"/>
              </w:rPr>
              <w:t>是否首期必做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E1</w:t>
            </w:r>
          </w:p>
        </w:tc>
        <w:tc>
          <w:tcPr>
            <w:tcW w:type="dxa" w:w="249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HA 基线</w:t>
            </w:r>
          </w:p>
        </w:tc>
        <w:tc>
          <w:tcPr>
            <w:tcW w:type="dxa" w:w="3969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检验是否只是学到日内平均模式</w:t>
            </w:r>
          </w:p>
        </w:tc>
        <w:tc>
          <w:tcPr>
            <w:tcW w:type="dxa" w:w="175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是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E2</w:t>
            </w:r>
          </w:p>
        </w:tc>
        <w:tc>
          <w:tcPr>
            <w:tcW w:type="dxa" w:w="249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XGBoost / LightGBM</w:t>
            </w:r>
          </w:p>
        </w:tc>
        <w:tc>
          <w:tcPr>
            <w:tcW w:type="dxa" w:w="3969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给传统机器学习一个强基线</w:t>
            </w:r>
          </w:p>
        </w:tc>
        <w:tc>
          <w:tcPr>
            <w:tcW w:type="dxa" w:w="175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是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E3</w:t>
            </w:r>
          </w:p>
        </w:tc>
        <w:tc>
          <w:tcPr>
            <w:tcW w:type="dxa" w:w="249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LSTM/GRU</w:t>
            </w:r>
          </w:p>
        </w:tc>
        <w:tc>
          <w:tcPr>
            <w:tcW w:type="dxa" w:w="3969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与常规时序深度模型比较</w:t>
            </w:r>
          </w:p>
        </w:tc>
        <w:tc>
          <w:tcPr>
            <w:tcW w:type="dxa" w:w="175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是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E4</w:t>
            </w:r>
          </w:p>
        </w:tc>
        <w:tc>
          <w:tcPr>
            <w:tcW w:type="dxa" w:w="249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Transformer V1</w:t>
            </w:r>
          </w:p>
        </w:tc>
        <w:tc>
          <w:tcPr>
            <w:tcW w:type="dxa" w:w="3969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首版主模型</w:t>
            </w:r>
          </w:p>
        </w:tc>
        <w:tc>
          <w:tcPr>
            <w:tcW w:type="dxa" w:w="175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是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E5</w:t>
            </w:r>
          </w:p>
        </w:tc>
        <w:tc>
          <w:tcPr>
            <w:tcW w:type="dxa" w:w="249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Transformer V1 + 控制/事件特征</w:t>
            </w:r>
          </w:p>
        </w:tc>
        <w:tc>
          <w:tcPr>
            <w:tcW w:type="dxa" w:w="3969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证明数字孪生上下文特征有效</w:t>
            </w:r>
          </w:p>
        </w:tc>
        <w:tc>
          <w:tcPr>
            <w:tcW w:type="dxa" w:w="1757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是</w:t>
            </w:r>
          </w:p>
        </w:tc>
      </w:tr>
    </w:tbl>
    <w:p>
      <w:pPr>
        <w:keepNext w:val="0"/>
        <w:spacing w:before="100" w:after="40" w:line="324" w:lineRule="auto"/>
      </w:pPr>
      <w:r>
        <w:rPr>
          <w:rFonts w:ascii="Noto Sans CJK SC" w:hAnsi="Noto Sans CJK SC" w:eastAsia="Noto Sans CJK SC" w:cs="Noto Sans CJK SC"/>
          <w:b/>
          <w:i w:val="0"/>
          <w:color w:val="214E7A"/>
          <w:sz w:val="22"/>
        </w:rPr>
        <w:t>6.2 指标与验收门槛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8"/>
              </w:rPr>
              <w:t>维度</w:t>
            </w:r>
          </w:p>
        </w:tc>
        <w:tc>
          <w:tcPr>
            <w:tcW w:type="dxa" w:w="1928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8"/>
              </w:rPr>
              <w:t>指标</w:t>
            </w:r>
          </w:p>
        </w:tc>
        <w:tc>
          <w:tcPr>
            <w:tcW w:type="dxa" w:w="3685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8"/>
              </w:rPr>
              <w:t>建议口径</w:t>
            </w:r>
          </w:p>
        </w:tc>
        <w:tc>
          <w:tcPr>
            <w:tcW w:type="dxa" w:w="2211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8"/>
              </w:rPr>
              <w:t>通过门槛（建议）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整体误差</w:t>
            </w:r>
          </w:p>
        </w:tc>
        <w:tc>
          <w:tcPr>
            <w:tcW w:type="dxa" w:w="1928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MAE / RMSE / WAPE</w:t>
            </w:r>
          </w:p>
        </w:tc>
        <w:tc>
          <w:tcPr>
            <w:tcW w:type="dxa" w:w="3685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分别统计 5/10/15 步</w:t>
            </w:r>
          </w:p>
        </w:tc>
        <w:tc>
          <w:tcPr>
            <w:tcW w:type="dxa" w:w="2211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优于 LSTM 5% 以上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排队预测</w:t>
            </w:r>
          </w:p>
        </w:tc>
        <w:tc>
          <w:tcPr>
            <w:tcW w:type="dxa" w:w="1928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Queue MAE</w:t>
            </w:r>
          </w:p>
        </w:tc>
        <w:tc>
          <w:tcPr>
            <w:tcW w:type="dxa" w:w="3685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只看关键瓶颈观测点</w:t>
            </w:r>
          </w:p>
        </w:tc>
        <w:tc>
          <w:tcPr>
            <w:tcW w:type="dxa" w:w="2211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事故场景不崩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峰值场景</w:t>
            </w:r>
          </w:p>
        </w:tc>
        <w:tc>
          <w:tcPr>
            <w:tcW w:type="dxa" w:w="1928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Peak subset MAE</w:t>
            </w:r>
          </w:p>
        </w:tc>
        <w:tc>
          <w:tcPr>
            <w:tcW w:type="dxa" w:w="3685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高峰需求子集单独统计</w:t>
            </w:r>
          </w:p>
        </w:tc>
        <w:tc>
          <w:tcPr>
            <w:tcW w:type="dxa" w:w="2211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不能明显劣化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事故场景</w:t>
            </w:r>
          </w:p>
        </w:tc>
        <w:tc>
          <w:tcPr>
            <w:tcW w:type="dxa" w:w="1928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Incident subset MAE</w:t>
            </w:r>
          </w:p>
        </w:tc>
        <w:tc>
          <w:tcPr>
            <w:tcW w:type="dxa" w:w="3685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封道/容量跌落子集单独统计</w:t>
            </w:r>
          </w:p>
        </w:tc>
        <w:tc>
          <w:tcPr>
            <w:tcW w:type="dxa" w:w="2211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误差可控且走势正确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推理性能</w:t>
            </w:r>
          </w:p>
        </w:tc>
        <w:tc>
          <w:tcPr>
            <w:tcW w:type="dxa" w:w="1928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单次推理时延</w:t>
            </w:r>
          </w:p>
        </w:tc>
        <w:tc>
          <w:tcPr>
            <w:tcW w:type="dxa" w:w="3685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CPU 环境下测量</w:t>
            </w:r>
          </w:p>
        </w:tc>
        <w:tc>
          <w:tcPr>
            <w:tcW w:type="dxa" w:w="2211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&lt; 0.5 s / 次</w:t>
            </w:r>
          </w:p>
        </w:tc>
      </w:tr>
    </w:tbl>
    <w:p>
      <w:pPr>
        <w:keepNext w:val="0"/>
        <w:spacing w:before="100" w:after="40" w:line="324" w:lineRule="auto"/>
      </w:pPr>
      <w:r>
        <w:rPr>
          <w:rFonts w:ascii="Noto Sans CJK SC" w:hAnsi="Noto Sans CJK SC" w:eastAsia="Noto Sans CJK SC" w:cs="Noto Sans CJK SC"/>
          <w:b/>
          <w:i w:val="0"/>
          <w:color w:val="214E7A"/>
          <w:sz w:val="22"/>
        </w:rPr>
        <w:t>6.3 与信号控制和事故推演的接口建议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8"/>
              </w:rPr>
              <w:t>下游模块</w:t>
            </w:r>
          </w:p>
        </w:tc>
        <w:tc>
          <w:tcPr>
            <w:tcW w:type="dxa" w:w="3175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8"/>
              </w:rPr>
              <w:t>接入方式</w:t>
            </w:r>
          </w:p>
        </w:tc>
        <w:tc>
          <w:tcPr>
            <w:tcW w:type="dxa" w:w="3969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8"/>
              </w:rPr>
              <w:t>推荐输出</w:t>
            </w:r>
          </w:p>
        </w:tc>
      </w:tr>
      <w:tr>
        <w:tc>
          <w:tcPr>
            <w:tcW w:type="dxa" w:w="198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RL 信号灯控制</w:t>
            </w:r>
          </w:p>
        </w:tc>
        <w:tc>
          <w:tcPr>
            <w:tcW w:type="dxa" w:w="3175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把未来 5–15 分钟预测状态作为增强状态或上层先验</w:t>
            </w:r>
          </w:p>
        </w:tc>
        <w:tc>
          <w:tcPr>
            <w:tcW w:type="dxa" w:w="3969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pred_flow、pred_queue、pred_speed</w:t>
            </w:r>
          </w:p>
        </w:tc>
      </w:tr>
      <w:tr>
        <w:tc>
          <w:tcPr>
            <w:tcW w:type="dxa" w:w="198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事故推演</w:t>
            </w:r>
          </w:p>
        </w:tc>
        <w:tc>
          <w:tcPr>
            <w:tcW w:type="dxa" w:w="3175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先生成“无事故基线预测”，再叠加事故扰动比较偏差</w:t>
            </w:r>
          </w:p>
        </w:tc>
        <w:tc>
          <w:tcPr>
            <w:tcW w:type="dxa" w:w="3969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baseline_pred 与 incident_pred</w:t>
            </w:r>
          </w:p>
        </w:tc>
      </w:tr>
      <w:tr>
        <w:tc>
          <w:tcPr>
            <w:tcW w:type="dxa" w:w="1984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可视化平台</w:t>
            </w:r>
          </w:p>
        </w:tc>
        <w:tc>
          <w:tcPr>
            <w:tcW w:type="dxa" w:w="3175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当前状态 + 未来趋势双轨显示</w:t>
            </w:r>
          </w:p>
        </w:tc>
        <w:tc>
          <w:tcPr>
            <w:tcW w:type="dxa" w:w="3969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horizon、node_id、pred_value、scenario_tag</w:t>
            </w:r>
          </w:p>
        </w:tc>
      </w:tr>
    </w:tbl>
    <w:p>
      <w:pPr>
        <w:keepNext w:val="0"/>
        <w:spacing w:before="100" w:after="40" w:line="324" w:lineRule="auto"/>
      </w:pPr>
      <w:r>
        <w:rPr>
          <w:rFonts w:ascii="Noto Sans CJK SC" w:hAnsi="Noto Sans CJK SC" w:eastAsia="Noto Sans CJK SC" w:cs="Noto Sans CJK SC"/>
          <w:b/>
          <w:i w:val="0"/>
          <w:color w:val="214E7A"/>
          <w:sz w:val="22"/>
        </w:rPr>
        <w:t>6.4 最低可用 API 约定（建议）</w:t>
      </w:r>
    </w:p>
    <w:p>
      <w:pPr>
        <w:pStyle w:val="CodeBlock"/>
        <w:spacing w:before="20" w:after="40" w:line="252" w:lineRule="auto"/>
      </w:pP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>POST /predict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>input: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>{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 xml:space="preserve">  "timestamp": "...",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 xml:space="preserve">  "window": [过去 L 步的多节点状态特征],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 xml:space="preserve">  "control_state": {...},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 xml:space="preserve">  "context": {"scenario_id": "...", "incident_flag": 0}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>}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>output: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>{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 xml:space="preserve">  "horizon": [1, 2, ..., 15],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 xml:space="preserve">  "nodes": [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 xml:space="preserve">    {"node_id": "N1", "pred_flow": [...], "pred_speed": [...], "pred_queue": [...]},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 xml:space="preserve">    {"node_id": "N2", "pred_flow": [...], "pred_speed": [...], "pred_queue": [...]}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 xml:space="preserve">  ]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>}</w:t>
        <w:br/>
      </w:r>
    </w:p>
    <w:p>
      <w:pPr>
        <w:pStyle w:val="Heading1"/>
        <w:keepNext/>
        <w:spacing w:before="120" w:after="40"/>
      </w:pPr>
      <w:r>
        <w:rPr>
          <w:rFonts w:ascii="Noto Sans CJK SC" w:hAnsi="Noto Sans CJK SC" w:eastAsia="Noto Sans CJK SC" w:cs="Noto Sans CJK SC"/>
          <w:b/>
          <w:i w:val="0"/>
          <w:color w:val="183A63"/>
          <w:sz w:val="30"/>
        </w:rPr>
        <w:t>七、建议排期、目录结构与风险兜底</w:t>
      </w:r>
    </w:p>
    <w:p>
      <w:pPr>
        <w:keepNext w:val="0"/>
        <w:spacing w:before="80" w:after="40" w:line="324" w:lineRule="auto"/>
      </w:pPr>
      <w:r>
        <w:rPr>
          <w:rFonts w:ascii="Noto Sans CJK SC" w:hAnsi="Noto Sans CJK SC" w:eastAsia="Noto Sans CJK SC" w:cs="Noto Sans CJK SC"/>
          <w:b/>
          <w:i w:val="0"/>
          <w:color w:val="214E7A"/>
          <w:sz w:val="22"/>
        </w:rPr>
        <w:t>7.1 六周推进表（可压缩为四周）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134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0" w:after="0" w:line="235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8"/>
              </w:rPr>
              <w:t>周次</w:t>
            </w:r>
          </w:p>
        </w:tc>
        <w:tc>
          <w:tcPr>
            <w:tcW w:type="dxa" w:w="238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0" w:after="0" w:line="235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8"/>
              </w:rPr>
              <w:t>重点产物</w:t>
            </w:r>
          </w:p>
        </w:tc>
        <w:tc>
          <w:tcPr>
            <w:tcW w:type="dxa" w:w="3969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0" w:after="0" w:line="235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8"/>
              </w:rPr>
              <w:t>核心任务</w:t>
            </w:r>
          </w:p>
        </w:tc>
        <w:tc>
          <w:tcPr>
            <w:tcW w:type="dxa" w:w="170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0" w:after="0" w:line="235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8"/>
              </w:rPr>
              <w:t>负责人建议</w:t>
            </w:r>
          </w:p>
        </w:tc>
      </w:tr>
      <w:tr>
        <w:tc>
          <w:tcPr>
            <w:tcW w:type="dxa" w:w="1134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W1</w:t>
            </w:r>
          </w:p>
        </w:tc>
        <w:tc>
          <w:tcPr>
            <w:tcW w:type="dxa" w:w="238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字段表 + 观测点定义</w:t>
            </w:r>
          </w:p>
        </w:tc>
        <w:tc>
          <w:tcPr>
            <w:tcW w:type="dxa" w:w="3969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拍板区域、探测器、标签与实验口径</w:t>
            </w:r>
          </w:p>
        </w:tc>
        <w:tc>
          <w:tcPr>
            <w:tcW w:type="dxa" w:w="170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算法 + 仿真</w:t>
            </w:r>
          </w:p>
        </w:tc>
      </w:tr>
      <w:tr>
        <w:tc>
          <w:tcPr>
            <w:tcW w:type="dxa" w:w="1134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W2</w:t>
            </w:r>
          </w:p>
        </w:tc>
        <w:tc>
          <w:tcPr>
            <w:tcW w:type="dxa" w:w="238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批量仿真脚本</w:t>
            </w:r>
          </w:p>
        </w:tc>
        <w:tc>
          <w:tcPr>
            <w:tcW w:type="dxa" w:w="3969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完成场景配置、批量运行与采集脚本</w:t>
            </w:r>
          </w:p>
        </w:tc>
        <w:tc>
          <w:tcPr>
            <w:tcW w:type="dxa" w:w="170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仿真</w:t>
            </w:r>
          </w:p>
        </w:tc>
      </w:tr>
      <w:tr>
        <w:tc>
          <w:tcPr>
            <w:tcW w:type="dxa" w:w="1134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W3</w:t>
            </w:r>
          </w:p>
        </w:tc>
        <w:tc>
          <w:tcPr>
            <w:tcW w:type="dxa" w:w="238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训练集 v1</w:t>
            </w:r>
          </w:p>
        </w:tc>
        <w:tc>
          <w:tcPr>
            <w:tcW w:type="dxa" w:w="3969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完成长表清洗、滑窗样本与数据切分</w:t>
            </w:r>
          </w:p>
        </w:tc>
        <w:tc>
          <w:tcPr>
            <w:tcW w:type="dxa" w:w="170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数据</w:t>
            </w:r>
          </w:p>
        </w:tc>
      </w:tr>
      <w:tr>
        <w:tc>
          <w:tcPr>
            <w:tcW w:type="dxa" w:w="1134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W4</w:t>
            </w:r>
          </w:p>
        </w:tc>
        <w:tc>
          <w:tcPr>
            <w:tcW w:type="dxa" w:w="238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基线 + Transformer V1</w:t>
            </w:r>
          </w:p>
        </w:tc>
        <w:tc>
          <w:tcPr>
            <w:tcW w:type="dxa" w:w="3969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跑通 HA / XGBoost / LSTM / Transformer</w:t>
            </w:r>
          </w:p>
        </w:tc>
        <w:tc>
          <w:tcPr>
            <w:tcW w:type="dxa" w:w="170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算法</w:t>
            </w:r>
          </w:p>
        </w:tc>
      </w:tr>
      <w:tr>
        <w:tc>
          <w:tcPr>
            <w:tcW w:type="dxa" w:w="1134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W5</w:t>
            </w:r>
          </w:p>
        </w:tc>
        <w:tc>
          <w:tcPr>
            <w:tcW w:type="dxa" w:w="238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增强实验</w:t>
            </w:r>
          </w:p>
        </w:tc>
        <w:tc>
          <w:tcPr>
            <w:tcW w:type="dxa" w:w="3969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加入控制/事件特征与域随机化，完成误差分析</w:t>
            </w:r>
          </w:p>
        </w:tc>
        <w:tc>
          <w:tcPr>
            <w:tcW w:type="dxa" w:w="170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算法</w:t>
            </w:r>
          </w:p>
        </w:tc>
      </w:tr>
      <w:tr>
        <w:tc>
          <w:tcPr>
            <w:tcW w:type="dxa" w:w="1134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W6</w:t>
            </w:r>
          </w:p>
        </w:tc>
        <w:tc>
          <w:tcPr>
            <w:tcW w:type="dxa" w:w="238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联调演示</w:t>
            </w:r>
          </w:p>
        </w:tc>
        <w:tc>
          <w:tcPr>
            <w:tcW w:type="dxa" w:w="3969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封装 API，接入控制/事故推演，准备展示素材</w:t>
            </w:r>
          </w:p>
        </w:tc>
        <w:tc>
          <w:tcPr>
            <w:tcW w:type="dxa" w:w="170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算法 + 平台</w:t>
            </w:r>
          </w:p>
        </w:tc>
      </w:tr>
    </w:tbl>
    <w:p>
      <w:pPr>
        <w:keepNext w:val="0"/>
        <w:spacing w:before="80" w:after="40" w:line="324" w:lineRule="auto"/>
      </w:pPr>
      <w:r>
        <w:rPr>
          <w:rFonts w:ascii="Noto Sans CJK SC" w:hAnsi="Noto Sans CJK SC" w:eastAsia="Noto Sans CJK SC" w:cs="Noto Sans CJK SC"/>
          <w:b/>
          <w:i w:val="0"/>
          <w:color w:val="214E7A"/>
          <w:sz w:val="22"/>
        </w:rPr>
        <w:t>7.2 推荐工程目录</w:t>
      </w:r>
    </w:p>
    <w:p>
      <w:pPr>
        <w:pStyle w:val="CodeBlock"/>
        <w:spacing w:before="20" w:after="80" w:line="252" w:lineRule="auto"/>
      </w:pP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>project/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>├── configs/                 # 场景、训练、推理配置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>├── sim/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>│   ├── networks/            # 路网、信号控制、附加文件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>│   ├── scenarios/           # 场景模板与批量参数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>│   └── scripts/             # run_sumo_batch.py / collect_outputs.py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>├── data/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>│   ├── raw/                 # 原始仿真输出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>│   ├── processed/           # 清洗后的长表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>│   └── datasets/            # 滑窗样本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>├── models/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>│   ├── baselines/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>│   └── transformer/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>├── service/                 # 推理 API 与平台接入</w:t>
        <w:br/>
      </w:r>
      <w:r>
        <w:rPr>
          <w:rFonts w:ascii="DejaVu Sans Mono" w:hAnsi="DejaVu Sans Mono" w:eastAsia="DejaVu Sans Mono" w:cs="DejaVu Sans Mono"/>
          <w:b w:val="0"/>
          <w:i w:val="0"/>
          <w:color w:val="2A2A2A"/>
          <w:sz w:val="18"/>
        </w:rPr>
        <w:t>└── reports/                 # 指标表、误差图、演示材料</w:t>
        <w:br/>
      </w:r>
    </w:p>
    <w:p>
      <w:pPr>
        <w:keepNext w:val="0"/>
        <w:spacing w:before="80" w:after="40" w:line="324" w:lineRule="auto"/>
      </w:pPr>
      <w:r>
        <w:rPr>
          <w:rFonts w:ascii="Noto Sans CJK SC" w:hAnsi="Noto Sans CJK SC" w:eastAsia="Noto Sans CJK SC" w:cs="Noto Sans CJK SC"/>
          <w:b/>
          <w:i w:val="0"/>
          <w:color w:val="214E7A"/>
          <w:sz w:val="22"/>
        </w:rPr>
        <w:t>7.3 常见风险与兜底策略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8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0" w:after="0" w:line="235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8"/>
              </w:rPr>
              <w:t>风险</w:t>
            </w:r>
          </w:p>
        </w:tc>
        <w:tc>
          <w:tcPr>
            <w:tcW w:type="dxa" w:w="306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0" w:after="0" w:line="235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8"/>
              </w:rPr>
              <w:t>表现</w:t>
            </w:r>
          </w:p>
        </w:tc>
        <w:tc>
          <w:tcPr>
            <w:tcW w:type="dxa" w:w="374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D8E7F6"/>
          </w:tcPr>
          <w:p>
            <w:pPr>
              <w:spacing w:before="0" w:after="0" w:line="235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1F1F"/>
                <w:sz w:val="18"/>
              </w:rPr>
              <w:t>兜底策略</w:t>
            </w:r>
          </w:p>
        </w:tc>
      </w:tr>
      <w:tr>
        <w:tc>
          <w:tcPr>
            <w:tcW w:type="dxa" w:w="238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场景过于单一</w:t>
            </w:r>
          </w:p>
        </w:tc>
        <w:tc>
          <w:tcPr>
            <w:tcW w:type="dxa" w:w="306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测试集一换组合就崩</w:t>
            </w:r>
          </w:p>
        </w:tc>
        <w:tc>
          <w:tcPr>
            <w:tcW w:type="dxa" w:w="374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增大 domain randomization，测试集保留未见组合</w:t>
            </w:r>
          </w:p>
        </w:tc>
      </w:tr>
      <w:tr>
        <w:tc>
          <w:tcPr>
            <w:tcW w:type="dxa" w:w="238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V1 不优于 LSTM</w:t>
            </w:r>
          </w:p>
        </w:tc>
        <w:tc>
          <w:tcPr>
            <w:tcW w:type="dxa" w:w="306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模型复杂但没收益</w:t>
            </w:r>
          </w:p>
        </w:tc>
        <w:tc>
          <w:tcPr>
            <w:tcW w:type="dxa" w:w="374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补控制/事件特征，改直接多步输出；必要时尝试 PatchTST 风格切片</w:t>
            </w:r>
          </w:p>
        </w:tc>
      </w:tr>
      <w:tr>
        <w:tc>
          <w:tcPr>
            <w:tcW w:type="dxa" w:w="238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事故样本太少</w:t>
            </w:r>
          </w:p>
        </w:tc>
        <w:tc>
          <w:tcPr>
            <w:tcW w:type="dxa" w:w="306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整体误差好看，事故场景很差</w:t>
            </w:r>
          </w:p>
        </w:tc>
        <w:tc>
          <w:tcPr>
            <w:tcW w:type="dxa" w:w="374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事故场景单独增采、加权训练、单独报告子集指标</w:t>
            </w:r>
          </w:p>
        </w:tc>
      </w:tr>
      <w:tr>
        <w:tc>
          <w:tcPr>
            <w:tcW w:type="dxa" w:w="238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标签太平滑</w:t>
            </w:r>
          </w:p>
        </w:tc>
        <w:tc>
          <w:tcPr>
            <w:tcW w:type="dxa" w:w="306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模型学不到拥堵突变</w:t>
            </w:r>
          </w:p>
        </w:tc>
        <w:tc>
          <w:tcPr>
            <w:tcW w:type="dxa" w:w="374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  <w:shd w:fill="F7FAFD"/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缩短采样周期至 30 s 或增加 burst demand / 突发事件</w:t>
            </w:r>
          </w:p>
        </w:tc>
      </w:tr>
      <w:tr>
        <w:tc>
          <w:tcPr>
            <w:tcW w:type="dxa" w:w="238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平台联调困难</w:t>
            </w:r>
          </w:p>
        </w:tc>
        <w:tc>
          <w:tcPr>
            <w:tcW w:type="dxa" w:w="3061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35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模型能跑但接不上系统</w:t>
            </w:r>
          </w:p>
        </w:tc>
        <w:tc>
          <w:tcPr>
            <w:tcW w:type="dxa" w:w="374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  <w:tcBorders>
              <w:left w:val="single" w:sz="6" w:color="B8C8D8"/>
              <w:top w:val="single" w:sz="6" w:color="B8C8D8"/>
              <w:right w:val="single" w:sz="6" w:color="B8C8D8"/>
              <w:bottom w:val="single" w:sz="6" w:color="B8C8D8"/>
            </w:tcBorders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F1F1F"/>
                <w:sz w:val="18"/>
              </w:rPr>
              <w:t>先定义最小 API，先离线回放，再在线联调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4FA"/>
            <w:tcBorders>
              <w:left w:val="single" w:sz="10" w:color="D3E1EF"/>
              <w:top w:val="single" w:sz="10" w:color="2F6690"/>
              <w:right w:val="single" w:sz="10" w:color="D3E1EF"/>
              <w:bottom w:val="single" w:sz="10" w:color="D3E1E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63A63"/>
                <w:sz w:val="22"/>
              </w:rPr>
              <w:t>落地优先级结论：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sz w:val="22"/>
              </w:rPr>
              <w:t>先用仿真数据把</w:t>
            </w:r>
            <w:r>
              <w:rPr>
                <w:rFonts w:ascii="Noto Sans CJK SC" w:hAnsi="Noto Sans CJK SC" w:eastAsia="Noto Sans CJK SC" w:cs="Noto Sans CJK SC"/>
                <w:b/>
                <w:i w:val="0"/>
                <w:color w:val="163A63"/>
                <w:sz w:val="22"/>
              </w:rPr>
              <w:t>“场景生成—样本构建—V1 Transformer—离线评估—最小 API”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sz w:val="22"/>
              </w:rPr>
              <w:t>这条链路跑通；只有在这条主线稳定后，再投入更多时间到时空 Transformer、行为特征增强和展示包装。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b w:val="0"/>
        <w:i w:val="0"/>
        <w:color w:val="6B7785"/>
        <w:sz w:val="17"/>
      </w:rPr>
      <w:t>交通流预测实现流程文档｜内部推进版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 w:eastAsia="Noto Sans CJK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