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Spring Cloud微服务版系统设计报告（作业3、4）</w:t>
      </w:r>
    </w:p>
    <w:p>
      <w:pPr>
        <w:jc w:val="both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技术架构图</w:t>
      </w:r>
    </w:p>
    <w:p>
      <w:pPr>
        <w:jc w:val="both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default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5271135" cy="5274945"/>
            <wp:effectExtent l="0" t="0" r="0" b="0"/>
            <wp:docPr id="2" name="图片 2" descr="网络货运平台微服务架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网络货运平台微服务架构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微服务架构说明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后端微服务共分为七大部分，如下图所示，现做如下阐述：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用户user服务：包含登录注册、客户信息管理、承运商信息管理功能；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订单order服务：包含对订单的修改、查询、订单财务管理等功能；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物流logistics服务：包含物流录入、查询等功能；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eureka服务：实现服务的注册与发现；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gateway服务：实现路由映射，外部用户可通过gateway通过服务调用到内部接口；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security服务：授权与认证等安全功能；</w:t>
      </w:r>
    </w:p>
    <w:p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nativeConfigServer配置服务：实现集中配置。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421380" cy="3909060"/>
            <wp:effectExtent l="0" t="0" r="762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eureka服务注册与发现+运行步骤与环境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1.项目运行环境为java jdk11</w:t>
      </w: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2.后端微服务项目的运行步骤为：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（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1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）</w:t>
      </w:r>
      <w:r>
        <w:rPr>
          <w:rFonts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依次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运行eureka、nativeConfigServer、gateway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（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2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）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再运行user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、logistics、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order</w:t>
      </w:r>
    </w:p>
    <w:p>
      <w:p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3.登录网址：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instrText xml:space="preserve"> HYPERLINK "http://localhost:8761/" </w:instrTex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fldChar w:fldCharType="separate"/>
      </w:r>
      <w:r>
        <w:rPr>
          <w:rStyle w:val="4"/>
          <w:rFonts w:hint="eastAsia"/>
          <w:b w:val="0"/>
          <w:bCs w:val="0"/>
          <w:sz w:val="21"/>
          <w:szCs w:val="21"/>
          <w:lang w:val="en-US" w:eastAsia="zh-CN"/>
        </w:rPr>
        <w:t>http://localhost:8761/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fldChar w:fldCharType="end"/>
      </w: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可以看到eureka中被注册的服务：</w:t>
      </w:r>
    </w:p>
    <w:p>
      <w:pPr>
        <w:jc w:val="both"/>
      </w:pPr>
      <w:r>
        <w:drawing>
          <wp:inline distT="0" distB="0" distL="114300" distR="114300">
            <wp:extent cx="5263515" cy="2506980"/>
            <wp:effectExtent l="0" t="0" r="9525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gateway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gateway实现路由映射，外部用户可通过服务调用到内部接口。通过服务调用到内部接口可以减少客户端记录不同端口号的数量，直接通过服务对接口进行访问。</w:t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255520" cy="3729355"/>
            <wp:effectExtent l="0" t="0" r="0" b="44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比如order服务中的API接口URL原本为http://localhost:8082/Sys/v1/orders ，现可通过http://localhost:8181/order/Sys/v1/orders直接访问：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3515" cy="3115945"/>
            <wp:effectExtent l="0" t="0" r="9525" b="825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3115945"/>
            <wp:effectExtent l="0" t="0" r="9525" b="825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服务调用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采用WebClient进行服务间调用（javaee课上曾老师推荐）。比如，若承运商要进行物流信息更新或查询，会先访问order服务中的http://localhost:8181/order/Sys/v1/logistics的post接口和http://localhost:8181/order/Sys/v1/logistics/{oid}的get接口。接下来order服务会采用WebClient调用logistics服务，图示如下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Order服务：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266690" cy="2849880"/>
            <wp:effectExtent l="0" t="0" r="6350" b="0"/>
            <wp:docPr id="9" name="图片 9" descr="bc107275d831323f5bfb04c972f49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bc107275d831323f5bfb04c972f49b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6690" cy="2849880"/>
            <wp:effectExtent l="0" t="0" r="6350" b="0"/>
            <wp:docPr id="8" name="图片 8" descr="452f2868b449a6cac793a3753335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52f2868b449a6cac793a37533354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Logistics服务：对logistics表的实际操作是在logistics服务中的，可以看到有数据库的更新信息。Order服务只负责调用传递参数。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6690" cy="2849880"/>
            <wp:effectExtent l="0" t="0" r="6350" b="0"/>
            <wp:docPr id="10" name="图片 10" descr="3e181197345fe999f1d694e8d377c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e181197345fe999f1d694e8d377c8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Postman测试结果：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3115945"/>
            <wp:effectExtent l="0" t="0" r="9525" b="8255"/>
            <wp:docPr id="11" name="图片 11" descr="6b11734ab74c68f9feecb674e77bd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6b11734ab74c68f9feecb674e77bdd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熔断器配置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采用Resilience4j进行服务熔断功能的实现。本项目在gateway微服务上配置Resilience4j熔断器，使用CircuitBreaker默认配置，实现粗粒度的全局控制。具体代码实现如下：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1742440"/>
            <wp:effectExtent l="0" t="0" r="8890" b="1016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96510" cy="2613660"/>
            <wp:effectExtent l="0" t="0" r="8890" b="762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在user微服务上增加测试接口，设置6秒的线程延时，没加熔断器之前的结果：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4785" cy="3108325"/>
            <wp:effectExtent l="0" t="0" r="8255" b="63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加了熔断器之后的结果：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166745"/>
            <wp:effectExtent l="0" t="0" r="14605" b="317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说明网关上的熔断器起了作用，运行良好。</w:t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集中配置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采用Spring Cloud Config server进行服务的集中配置，各个服务通过bootstrap.yml获取到自己的application.yml和nativeConfigServer服务的信息，各服务的application.yml统一放置于nativeConfigServer的shared文件夹下：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133600" cy="3744595"/>
            <wp:effectExtent l="0" t="0" r="0" b="444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41750" cy="3637915"/>
            <wp:effectExtent l="0" t="0" r="13970" b="4445"/>
            <wp:docPr id="13" name="图片 13" descr="cea4c6626ab67970cb6bb22c31172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ea4c6626ab67970cb6bb22c31172a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Sleuth跟踪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49880"/>
            <wp:effectExtent l="0" t="0" r="6350" b="0"/>
            <wp:docPr id="15" name="图片 15" descr="452f2868b449a6cac793a3753335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452f2868b449a6cac793a37533354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2333625"/>
            <wp:effectExtent l="0" t="0" r="1270" b="13335"/>
            <wp:docPr id="14" name="图片 14" descr="c24bf2cc1a3173599a616581c8fa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24bf2cc1a3173599a616581c8fa96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kafka消息队列形成事件驱动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1.运行步骤：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（1）先启动zookeeper和kafka服务器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/>
          <w:sz w:val="21"/>
          <w:szCs w:val="21"/>
          <w:lang w:val="en-US" w:eastAsia="zh-CN"/>
        </w:rPr>
        <w:t>（2）再依次启动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eureka、nativeConfigServer、gateway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的application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（3）启动order服务和logistics服务（需要保证order在logistics服务之前启动）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下面是zookeeper启动图：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67960" cy="2750820"/>
            <wp:effectExtent l="0" t="0" r="5080" b="7620"/>
            <wp:docPr id="1" name="图片 1" descr="425b1083ee596ccd9ab33230d29a2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25b1083ee596ccd9ab33230d29a2f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67960" cy="2750820"/>
            <wp:effectExtent l="0" t="0" r="5080" b="7620"/>
            <wp:docPr id="16" name="图片 16" descr="713f3e301b460d42cfbf307fef579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713f3e301b460d42cfbf307fef579ff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下面是kafka服务器运行图：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267960" cy="2750820"/>
            <wp:effectExtent l="0" t="0" r="5080" b="7620"/>
            <wp:docPr id="17" name="图片 17" descr="680afa7059fd50bf4054ea387ad2d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680afa7059fd50bf4054ea387ad2d9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2.说明：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在order和logistics服务中运用kafka消息队列实现事件驱动，比如，调用order服务中的http://localhost:8181/order/Sys/v1/logistics接口，同时传递oid和location参数：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3515" cy="3115945"/>
            <wp:effectExtent l="0" t="0" r="9525" b="8255"/>
            <wp:docPr id="18" name="图片 18" descr="54dbbead0c4b4f6d0be78d93ebe92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54dbbead0c4b4f6d0be78d93ebe92f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Order服务被调用接口后，向logistics服务发送kafka消息：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6690" cy="2849880"/>
            <wp:effectExtent l="0" t="0" r="6350" b="0"/>
            <wp:docPr id="19" name="图片 19" descr="1630ca7beb2e9946e8fa48947d96c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630ca7beb2e9946e8fa48947d96ca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Logistics服务的消息监听器LogisticsMsgListener从消息队列中收到消息，进行物流更新信息处理，并打印出更新成功的信息：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6690" cy="2849880"/>
            <wp:effectExtent l="0" t="0" r="6350" b="0"/>
            <wp:docPr id="20" name="图片 20" descr="4a8474b807fa0bac3865ff41afcdc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4a8474b807fa0bac3865ff41afcdcff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238254"/>
    <w:multiLevelType w:val="singleLevel"/>
    <w:tmpl w:val="BE23825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D4CEA622"/>
    <w:multiLevelType w:val="singleLevel"/>
    <w:tmpl w:val="D4CEA62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ViY2JkMjU3NGYzZTEwMzZmMGFkZWViYmNkYWU3NDIifQ=="/>
  </w:docVars>
  <w:rsids>
    <w:rsidRoot w:val="16061D27"/>
    <w:rsid w:val="137B791B"/>
    <w:rsid w:val="16061D27"/>
    <w:rsid w:val="1DEA6F84"/>
    <w:rsid w:val="213D605E"/>
    <w:rsid w:val="21A07873"/>
    <w:rsid w:val="33EF3F5A"/>
    <w:rsid w:val="38235843"/>
    <w:rsid w:val="499E040F"/>
    <w:rsid w:val="637B5C90"/>
    <w:rsid w:val="6A9F07F4"/>
    <w:rsid w:val="72BA2957"/>
    <w:rsid w:val="73EC3B82"/>
    <w:rsid w:val="7DE70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2023-06-18T17:47:00Z</dcterms:created>
  <dc:creator>雪玲</dc:creator>
  <cp:lastModifiedBy>wfl</cp:lastModifiedBy>
  <dcterms:modified xsi:type="dcterms:W3CDTF">2023-06-22T14:46:14Z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F37E6FE8CC6444E2B90885BEDE62ABC5_11</vt:lpwstr>
  </property>
</Properties>
</file>