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1FE7D" w14:textId="77777777" w:rsidR="007843B9" w:rsidRDefault="00923D62" w:rsidP="007843B9">
      <w:pPr>
        <w:ind w:firstLine="800"/>
        <w:jc w:val="center"/>
        <w:rPr>
          <w:rFonts w:ascii="方正苏新诗柳楷简体" w:eastAsia="方正苏新诗柳楷简体"/>
          <w:sz w:val="40"/>
          <w:szCs w:val="24"/>
        </w:rPr>
      </w:pPr>
      <w:bookmarkStart w:id="0" w:name="_GoBack"/>
      <w:bookmarkEnd w:id="0"/>
      <w:r w:rsidRPr="001B1942">
        <w:rPr>
          <w:rFonts w:ascii="方正苏新诗柳楷简体" w:eastAsia="方正苏新诗柳楷简体" w:hint="eastAsia"/>
          <w:sz w:val="40"/>
          <w:szCs w:val="24"/>
        </w:rPr>
        <w:t>投资学补充作业报告</w:t>
      </w:r>
    </w:p>
    <w:p w14:paraId="2B8CCC0B" w14:textId="77777777" w:rsidR="001B1942" w:rsidRPr="007843B9" w:rsidRDefault="007843B9" w:rsidP="007843B9">
      <w:pPr>
        <w:spacing w:beforeLines="50" w:before="156" w:afterLines="50" w:after="156"/>
        <w:ind w:firstLineChars="0" w:firstLine="0"/>
        <w:rPr>
          <w:rFonts w:ascii="方正苏新诗柳楷简体" w:eastAsia="方正苏新诗柳楷简体"/>
          <w:b/>
          <w:sz w:val="44"/>
          <w:szCs w:val="24"/>
        </w:rPr>
      </w:pPr>
      <w:r>
        <w:rPr>
          <w:rFonts w:hint="eastAsia"/>
          <w:b/>
          <w:sz w:val="28"/>
        </w:rPr>
        <w:t>一、</w:t>
      </w:r>
      <w:r w:rsidR="0035540B" w:rsidRPr="007843B9">
        <w:rPr>
          <w:rFonts w:hint="eastAsia"/>
          <w:b/>
          <w:sz w:val="28"/>
        </w:rPr>
        <w:t>简介</w:t>
      </w:r>
    </w:p>
    <w:p w14:paraId="537C892D" w14:textId="77777777" w:rsidR="00616765" w:rsidRDefault="00C7671B" w:rsidP="001B1942">
      <w:pPr>
        <w:spacing w:line="360" w:lineRule="auto"/>
        <w:ind w:firstLine="480"/>
        <w:rPr>
          <w:rFonts w:ascii="宋体" w:hAnsi="宋体"/>
          <w:szCs w:val="24"/>
        </w:rPr>
      </w:pPr>
      <w:r w:rsidRPr="001B1942">
        <w:rPr>
          <w:rFonts w:ascii="宋体" w:hAnsi="宋体" w:hint="eastAsia"/>
          <w:szCs w:val="24"/>
        </w:rPr>
        <w:t>我们主要研究四</w:t>
      </w:r>
      <w:r w:rsidR="003068B8" w:rsidRPr="001B1942">
        <w:rPr>
          <w:rFonts w:ascii="宋体" w:hAnsi="宋体" w:hint="eastAsia"/>
          <w:szCs w:val="24"/>
        </w:rPr>
        <w:t>类大类资产：股票、债券</w:t>
      </w:r>
      <w:r w:rsidRPr="001B1942">
        <w:rPr>
          <w:rFonts w:ascii="宋体" w:hAnsi="宋体" w:hint="eastAsia"/>
          <w:szCs w:val="24"/>
        </w:rPr>
        <w:t>、</w:t>
      </w:r>
      <w:r w:rsidR="003068B8" w:rsidRPr="001B1942">
        <w:rPr>
          <w:rFonts w:ascii="宋体" w:hAnsi="宋体" w:hint="eastAsia"/>
          <w:szCs w:val="24"/>
        </w:rPr>
        <w:t>期货</w:t>
      </w:r>
      <w:r w:rsidRPr="001B1942">
        <w:rPr>
          <w:rFonts w:ascii="宋体" w:hAnsi="宋体" w:hint="eastAsia"/>
          <w:szCs w:val="24"/>
        </w:rPr>
        <w:t>以及国债</w:t>
      </w:r>
      <w:r w:rsidR="0008604C" w:rsidRPr="001B1942">
        <w:rPr>
          <w:rFonts w:ascii="宋体" w:hAnsi="宋体" w:hint="eastAsia"/>
          <w:szCs w:val="24"/>
        </w:rPr>
        <w:t>，</w:t>
      </w:r>
      <w:r w:rsidR="00616765">
        <w:rPr>
          <w:rFonts w:ascii="宋体" w:hAnsi="宋体" w:hint="eastAsia"/>
          <w:szCs w:val="24"/>
        </w:rPr>
        <w:t>前三种被视为风险资产，国债被视为无风险资产。在本报告中，我们主要</w:t>
      </w:r>
      <w:r w:rsidR="0008604C" w:rsidRPr="001B1942">
        <w:rPr>
          <w:rFonts w:ascii="宋体" w:hAnsi="宋体" w:hint="eastAsia"/>
          <w:szCs w:val="24"/>
        </w:rPr>
        <w:t>使用马科维茨方法进行资产配置研究</w:t>
      </w:r>
      <w:r w:rsidR="00616765">
        <w:rPr>
          <w:rFonts w:ascii="宋体" w:hAnsi="宋体" w:hint="eastAsia"/>
          <w:szCs w:val="24"/>
        </w:rPr>
        <w:t>，并在后续提出了其他模型研究</w:t>
      </w:r>
      <w:r w:rsidR="00E40F2F">
        <w:rPr>
          <w:rFonts w:ascii="宋体" w:hAnsi="宋体" w:hint="eastAsia"/>
          <w:szCs w:val="24"/>
        </w:rPr>
        <w:t>的具体内容</w:t>
      </w:r>
      <w:r w:rsidR="00616765">
        <w:rPr>
          <w:rFonts w:ascii="宋体" w:hAnsi="宋体" w:hint="eastAsia"/>
          <w:szCs w:val="24"/>
        </w:rPr>
        <w:t>。</w:t>
      </w:r>
    </w:p>
    <w:p w14:paraId="6BA7729D" w14:textId="77777777" w:rsidR="00616765" w:rsidRDefault="003068B8" w:rsidP="00616765">
      <w:pPr>
        <w:spacing w:line="360" w:lineRule="auto"/>
        <w:ind w:firstLine="480"/>
        <w:rPr>
          <w:rFonts w:ascii="宋体" w:hAnsi="宋体"/>
          <w:szCs w:val="24"/>
        </w:rPr>
      </w:pPr>
      <w:r w:rsidRPr="001B1942">
        <w:rPr>
          <w:rFonts w:ascii="宋体" w:hAnsi="宋体" w:hint="eastAsia"/>
          <w:szCs w:val="24"/>
        </w:rPr>
        <w:t>我们选取沪深3</w:t>
      </w:r>
      <w:r w:rsidRPr="001B1942">
        <w:rPr>
          <w:rFonts w:ascii="宋体" w:hAnsi="宋体"/>
          <w:szCs w:val="24"/>
        </w:rPr>
        <w:t>00</w:t>
      </w:r>
      <w:r w:rsidR="00923D62" w:rsidRPr="001B1942">
        <w:rPr>
          <w:rFonts w:ascii="宋体" w:hAnsi="宋体" w:hint="eastAsia"/>
          <w:szCs w:val="24"/>
        </w:rPr>
        <w:t>指数</w:t>
      </w:r>
      <w:r w:rsidRPr="001B1942">
        <w:rPr>
          <w:rFonts w:ascii="宋体" w:hAnsi="宋体" w:hint="eastAsia"/>
          <w:szCs w:val="24"/>
        </w:rPr>
        <w:t>代表大盘股，中证5</w:t>
      </w:r>
      <w:r w:rsidRPr="001B1942">
        <w:rPr>
          <w:rFonts w:ascii="宋体" w:hAnsi="宋体"/>
          <w:szCs w:val="24"/>
        </w:rPr>
        <w:t>00</w:t>
      </w:r>
      <w:r w:rsidR="00923D62" w:rsidRPr="001B1942">
        <w:rPr>
          <w:rFonts w:ascii="宋体" w:hAnsi="宋体" w:hint="eastAsia"/>
          <w:szCs w:val="24"/>
        </w:rPr>
        <w:t>指数</w:t>
      </w:r>
      <w:r w:rsidR="00EA7853" w:rsidRPr="001B1942">
        <w:rPr>
          <w:rFonts w:ascii="宋体" w:hAnsi="宋体" w:hint="eastAsia"/>
          <w:szCs w:val="24"/>
        </w:rPr>
        <w:t>代表</w:t>
      </w:r>
      <w:r w:rsidRPr="001B1942">
        <w:rPr>
          <w:rFonts w:ascii="宋体" w:hAnsi="宋体" w:hint="eastAsia"/>
          <w:szCs w:val="24"/>
        </w:rPr>
        <w:t>小盘股</w:t>
      </w:r>
      <w:r w:rsidR="009E08D6" w:rsidRPr="001B1942">
        <w:rPr>
          <w:rFonts w:ascii="宋体" w:hAnsi="宋体" w:hint="eastAsia"/>
          <w:szCs w:val="24"/>
        </w:rPr>
        <w:t>，</w:t>
      </w:r>
      <w:proofErr w:type="gramStart"/>
      <w:r w:rsidR="009E08D6" w:rsidRPr="001B1942">
        <w:rPr>
          <w:rFonts w:ascii="宋体" w:hAnsi="宋体" w:hint="eastAsia"/>
          <w:szCs w:val="24"/>
        </w:rPr>
        <w:t>中债新综合</w:t>
      </w:r>
      <w:proofErr w:type="gramEnd"/>
      <w:r w:rsidR="009E08D6" w:rsidRPr="001B1942">
        <w:rPr>
          <w:rFonts w:ascii="宋体" w:hAnsi="宋体" w:hint="eastAsia"/>
          <w:szCs w:val="24"/>
        </w:rPr>
        <w:t>指数代表</w:t>
      </w:r>
      <w:r w:rsidRPr="001B1942">
        <w:rPr>
          <w:rFonts w:ascii="宋体" w:hAnsi="宋体" w:hint="eastAsia"/>
          <w:szCs w:val="24"/>
        </w:rPr>
        <w:t>债券</w:t>
      </w:r>
      <w:r w:rsidR="00616765">
        <w:rPr>
          <w:rFonts w:ascii="宋体" w:hAnsi="宋体" w:hint="eastAsia"/>
          <w:szCs w:val="24"/>
        </w:rPr>
        <w:t>市场</w:t>
      </w:r>
      <w:r w:rsidRPr="001B1942">
        <w:rPr>
          <w:rFonts w:ascii="宋体" w:hAnsi="宋体" w:hint="eastAsia"/>
          <w:szCs w:val="24"/>
        </w:rPr>
        <w:t>，</w:t>
      </w:r>
      <w:r w:rsidR="00923D62" w:rsidRPr="001B1942">
        <w:rPr>
          <w:rFonts w:ascii="宋体" w:hAnsi="宋体" w:hint="eastAsia"/>
          <w:szCs w:val="24"/>
        </w:rPr>
        <w:t>南华工业品指数和南华农业品指数</w:t>
      </w:r>
      <w:r w:rsidRPr="001B1942">
        <w:rPr>
          <w:rFonts w:ascii="宋体" w:hAnsi="宋体" w:hint="eastAsia"/>
          <w:szCs w:val="24"/>
        </w:rPr>
        <w:t>代表期货</w:t>
      </w:r>
      <w:r w:rsidR="00616765">
        <w:rPr>
          <w:rFonts w:ascii="宋体" w:hAnsi="宋体" w:hint="eastAsia"/>
          <w:szCs w:val="24"/>
        </w:rPr>
        <w:t>市场</w:t>
      </w:r>
      <w:r w:rsidRPr="001B1942">
        <w:rPr>
          <w:rFonts w:ascii="宋体" w:hAnsi="宋体" w:hint="eastAsia"/>
          <w:szCs w:val="24"/>
        </w:rPr>
        <w:t>。我们获取了</w:t>
      </w:r>
      <w:r w:rsidR="00C90EB4" w:rsidRPr="001B1942">
        <w:rPr>
          <w:rFonts w:ascii="宋体" w:hAnsi="宋体" w:hint="eastAsia"/>
          <w:szCs w:val="24"/>
        </w:rPr>
        <w:t>2</w:t>
      </w:r>
      <w:r w:rsidRPr="001B1942">
        <w:rPr>
          <w:rFonts w:ascii="宋体" w:hAnsi="宋体"/>
          <w:szCs w:val="24"/>
        </w:rPr>
        <w:t>014</w:t>
      </w:r>
      <w:r w:rsidRPr="001B1942">
        <w:rPr>
          <w:rFonts w:ascii="宋体" w:hAnsi="宋体" w:hint="eastAsia"/>
          <w:szCs w:val="24"/>
        </w:rPr>
        <w:t>年2月2</w:t>
      </w:r>
      <w:r w:rsidRPr="001B1942">
        <w:rPr>
          <w:rFonts w:ascii="宋体" w:hAnsi="宋体"/>
          <w:szCs w:val="24"/>
        </w:rPr>
        <w:t>8</w:t>
      </w:r>
      <w:r w:rsidRPr="001B1942">
        <w:rPr>
          <w:rFonts w:ascii="宋体" w:hAnsi="宋体" w:hint="eastAsia"/>
          <w:szCs w:val="24"/>
        </w:rPr>
        <w:t>日至2</w:t>
      </w:r>
      <w:r w:rsidRPr="001B1942">
        <w:rPr>
          <w:rFonts w:ascii="宋体" w:hAnsi="宋体"/>
          <w:szCs w:val="24"/>
        </w:rPr>
        <w:t>019</w:t>
      </w:r>
      <w:r w:rsidRPr="001B1942">
        <w:rPr>
          <w:rFonts w:ascii="宋体" w:hAnsi="宋体" w:hint="eastAsia"/>
          <w:szCs w:val="24"/>
        </w:rPr>
        <w:t>年2月2</w:t>
      </w:r>
      <w:r w:rsidRPr="001B1942">
        <w:rPr>
          <w:rFonts w:ascii="宋体" w:hAnsi="宋体"/>
          <w:szCs w:val="24"/>
        </w:rPr>
        <w:t>8</w:t>
      </w:r>
      <w:r w:rsidRPr="001B1942">
        <w:rPr>
          <w:rFonts w:ascii="宋体" w:hAnsi="宋体" w:hint="eastAsia"/>
          <w:szCs w:val="24"/>
        </w:rPr>
        <w:t>日的日数据，并根据数据计算每一周的收益率</w:t>
      </w:r>
      <w:r w:rsidR="009E08D6" w:rsidRPr="001B1942">
        <w:rPr>
          <w:rFonts w:ascii="宋体" w:hAnsi="宋体" w:hint="eastAsia"/>
          <w:szCs w:val="24"/>
        </w:rPr>
        <w:t>，计算公式为：一周的收益率</w:t>
      </w:r>
      <w:r w:rsidR="009E08D6" w:rsidRPr="001B1942">
        <w:rPr>
          <w:rFonts w:ascii="宋体" w:hAnsi="宋体"/>
          <w:szCs w:val="24"/>
        </w:rPr>
        <w:t>=（周五收盘指数-周一开盘指数）/周一开盘指数</w:t>
      </w:r>
      <w:r w:rsidR="00C7671B" w:rsidRPr="001B1942">
        <w:rPr>
          <w:rFonts w:ascii="宋体" w:hAnsi="宋体" w:hint="eastAsia"/>
          <w:szCs w:val="24"/>
        </w:rPr>
        <w:t>，同时将</w:t>
      </w:r>
      <w:r w:rsidR="00135264">
        <w:rPr>
          <w:rFonts w:ascii="宋体" w:hAnsi="宋体" w:hint="eastAsia"/>
          <w:szCs w:val="24"/>
        </w:rPr>
        <w:t>五</w:t>
      </w:r>
      <w:r w:rsidR="00C7671B" w:rsidRPr="001B1942">
        <w:rPr>
          <w:rFonts w:ascii="宋体" w:hAnsi="宋体" w:hint="eastAsia"/>
          <w:szCs w:val="24"/>
        </w:rPr>
        <w:t>年期国债在此期间的平均收益率</w:t>
      </w:r>
      <w:r w:rsidR="00C7671B" w:rsidRPr="001B1942">
        <w:rPr>
          <w:rFonts w:ascii="宋体" w:hAnsi="宋体"/>
          <w:szCs w:val="24"/>
        </w:rPr>
        <w:t>3.473538</w:t>
      </w:r>
      <w:r w:rsidR="00C7671B" w:rsidRPr="001B1942">
        <w:rPr>
          <w:rFonts w:ascii="宋体" w:hAnsi="宋体" w:hint="eastAsia"/>
          <w:szCs w:val="24"/>
        </w:rPr>
        <w:t>%作为无风险收益率</w:t>
      </w:r>
      <w:r w:rsidRPr="001B1942">
        <w:rPr>
          <w:rFonts w:ascii="宋体" w:hAnsi="宋体" w:hint="eastAsia"/>
          <w:szCs w:val="24"/>
        </w:rPr>
        <w:t>。数据来源为国泰安数据库</w:t>
      </w:r>
      <w:r w:rsidR="00923D62" w:rsidRPr="001B1942">
        <w:rPr>
          <w:rFonts w:ascii="宋体" w:hAnsi="宋体" w:hint="eastAsia"/>
          <w:szCs w:val="24"/>
        </w:rPr>
        <w:t>以及万德数据库</w:t>
      </w:r>
      <w:r w:rsidRPr="001B1942">
        <w:rPr>
          <w:rFonts w:ascii="宋体" w:hAnsi="宋体" w:hint="eastAsia"/>
          <w:szCs w:val="24"/>
        </w:rPr>
        <w:t>。</w:t>
      </w:r>
      <w:r w:rsidR="00923D62" w:rsidRPr="001B1942">
        <w:rPr>
          <w:rFonts w:ascii="宋体" w:hAnsi="宋体" w:hint="eastAsia"/>
          <w:szCs w:val="24"/>
        </w:rPr>
        <w:t>（</w:t>
      </w:r>
      <w:r w:rsidR="00BB24D8" w:rsidRPr="001B1942">
        <w:rPr>
          <w:rFonts w:ascii="宋体" w:hAnsi="宋体" w:hint="eastAsia"/>
          <w:szCs w:val="24"/>
        </w:rPr>
        <w:t>原始</w:t>
      </w:r>
      <w:r w:rsidR="00923D62" w:rsidRPr="001B1942">
        <w:rPr>
          <w:rFonts w:ascii="宋体" w:hAnsi="宋体" w:hint="eastAsia"/>
          <w:szCs w:val="24"/>
        </w:rPr>
        <w:t>数据</w:t>
      </w:r>
      <w:r w:rsidR="00BB24D8" w:rsidRPr="001B1942">
        <w:rPr>
          <w:rFonts w:ascii="宋体" w:hAnsi="宋体" w:hint="eastAsia"/>
          <w:szCs w:val="24"/>
        </w:rPr>
        <w:t>及处理后的数据</w:t>
      </w:r>
      <w:r w:rsidR="00923D62" w:rsidRPr="001B1942">
        <w:rPr>
          <w:rFonts w:ascii="宋体" w:hAnsi="宋体" w:hint="eastAsia"/>
          <w:szCs w:val="24"/>
        </w:rPr>
        <w:t>见附件）</w:t>
      </w:r>
    </w:p>
    <w:p w14:paraId="11E4E720" w14:textId="77777777" w:rsidR="0035540B" w:rsidRPr="007843B9" w:rsidRDefault="00A04584" w:rsidP="007843B9">
      <w:pPr>
        <w:spacing w:beforeLines="50" w:before="156" w:afterLines="50" w:after="156"/>
        <w:ind w:firstLineChars="0" w:firstLine="0"/>
        <w:rPr>
          <w:b/>
          <w:sz w:val="28"/>
        </w:rPr>
      </w:pPr>
      <w:r>
        <w:rPr>
          <w:rFonts w:hint="eastAsia"/>
          <w:b/>
          <w:sz w:val="28"/>
        </w:rPr>
        <w:t>二</w:t>
      </w:r>
      <w:r w:rsidR="007843B9" w:rsidRPr="007843B9">
        <w:rPr>
          <w:rFonts w:hint="eastAsia"/>
          <w:b/>
          <w:sz w:val="28"/>
        </w:rPr>
        <w:t>、</w:t>
      </w:r>
      <w:r w:rsidR="0035540B" w:rsidRPr="007843B9">
        <w:rPr>
          <w:rFonts w:hint="eastAsia"/>
          <w:b/>
          <w:sz w:val="28"/>
        </w:rPr>
        <w:t>数据处理及简要分析</w:t>
      </w:r>
    </w:p>
    <w:p w14:paraId="1583744B" w14:textId="10B66132" w:rsidR="007843B9" w:rsidRDefault="007843B9" w:rsidP="007843B9">
      <w:pPr>
        <w:spacing w:line="360" w:lineRule="auto"/>
        <w:ind w:firstLine="480"/>
        <w:rPr>
          <w:rFonts w:ascii="宋体" w:hAnsi="宋体"/>
          <w:szCs w:val="24"/>
        </w:rPr>
      </w:pPr>
      <w:r>
        <w:rPr>
          <w:rFonts w:ascii="宋体" w:hAnsi="宋体" w:hint="eastAsia"/>
          <w:szCs w:val="24"/>
        </w:rPr>
        <w:t>（1）</w:t>
      </w:r>
      <w:r w:rsidR="00E17033" w:rsidRPr="001B1942">
        <w:rPr>
          <w:rFonts w:ascii="宋体" w:hAnsi="宋体" w:hint="eastAsia"/>
          <w:szCs w:val="24"/>
        </w:rPr>
        <w:t>我们对于筛选的得到的周收益率进行描述统计。（</w:t>
      </w:r>
      <w:r w:rsidR="00E17033" w:rsidRPr="001B1942">
        <w:rPr>
          <w:rFonts w:ascii="宋体" w:hAnsi="宋体"/>
          <w:szCs w:val="24"/>
        </w:rPr>
        <w:fldChar w:fldCharType="begin"/>
      </w:r>
      <w:r w:rsidR="00E17033" w:rsidRPr="001B1942">
        <w:rPr>
          <w:rFonts w:ascii="宋体" w:hAnsi="宋体"/>
          <w:szCs w:val="24"/>
        </w:rPr>
        <w:instrText xml:space="preserve"> </w:instrText>
      </w:r>
      <w:r w:rsidR="00E17033" w:rsidRPr="001B1942">
        <w:rPr>
          <w:rFonts w:ascii="宋体" w:hAnsi="宋体" w:hint="eastAsia"/>
          <w:szCs w:val="24"/>
        </w:rPr>
        <w:instrText>REF _Ref6144585 \h</w:instrText>
      </w:r>
      <w:r w:rsidR="00E17033" w:rsidRPr="001B1942">
        <w:rPr>
          <w:rFonts w:ascii="宋体" w:hAnsi="宋体"/>
          <w:szCs w:val="24"/>
        </w:rPr>
        <w:instrText xml:space="preserve"> </w:instrText>
      </w:r>
      <w:r w:rsidR="001B1942">
        <w:rPr>
          <w:rFonts w:ascii="宋体" w:hAnsi="宋体"/>
          <w:szCs w:val="24"/>
        </w:rPr>
        <w:instrText xml:space="preserve"> \* MERGEFORMAT </w:instrText>
      </w:r>
      <w:r w:rsidR="00E17033" w:rsidRPr="001B1942">
        <w:rPr>
          <w:rFonts w:ascii="宋体" w:hAnsi="宋体"/>
          <w:szCs w:val="24"/>
        </w:rPr>
      </w:r>
      <w:r w:rsidR="00E17033" w:rsidRPr="001B1942">
        <w:rPr>
          <w:rFonts w:ascii="宋体" w:hAnsi="宋体"/>
          <w:szCs w:val="24"/>
        </w:rPr>
        <w:fldChar w:fldCharType="separate"/>
      </w:r>
      <w:r w:rsidR="007E01BE" w:rsidRPr="007E01BE">
        <w:rPr>
          <w:rFonts w:ascii="宋体" w:hAnsi="宋体"/>
        </w:rPr>
        <w:t xml:space="preserve">表格 </w:t>
      </w:r>
      <w:r w:rsidR="007E01BE" w:rsidRPr="007E01BE">
        <w:rPr>
          <w:rFonts w:ascii="宋体" w:hAnsi="宋体"/>
          <w:noProof/>
        </w:rPr>
        <w:t>1</w:t>
      </w:r>
      <w:r w:rsidR="00E17033" w:rsidRPr="001B1942">
        <w:rPr>
          <w:rFonts w:ascii="宋体" w:hAnsi="宋体"/>
          <w:szCs w:val="24"/>
        </w:rPr>
        <w:fldChar w:fldCharType="end"/>
      </w:r>
      <w:r w:rsidR="00E17033" w:rsidRPr="001B1942">
        <w:rPr>
          <w:rFonts w:ascii="宋体" w:hAnsi="宋体" w:hint="eastAsia"/>
          <w:szCs w:val="24"/>
        </w:rPr>
        <w:t>）</w:t>
      </w:r>
    </w:p>
    <w:p w14:paraId="6F112787" w14:textId="77777777" w:rsidR="00E17033" w:rsidRPr="007843B9" w:rsidRDefault="00E17033" w:rsidP="007843B9">
      <w:pPr>
        <w:spacing w:line="360" w:lineRule="auto"/>
        <w:ind w:firstLine="480"/>
        <w:rPr>
          <w:rFonts w:ascii="宋体" w:hAnsi="宋体"/>
          <w:szCs w:val="24"/>
        </w:rPr>
      </w:pPr>
      <w:r w:rsidRPr="001B1942">
        <w:rPr>
          <w:rFonts w:ascii="宋体" w:hAnsi="宋体" w:hint="eastAsia"/>
          <w:noProof/>
        </w:rPr>
        <w:drawing>
          <wp:inline distT="0" distB="0" distL="0" distR="0" wp14:anchorId="41CD0164" wp14:editId="70BB3689">
            <wp:extent cx="4457700" cy="1457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457325"/>
                    </a:xfrm>
                    <a:prstGeom prst="rect">
                      <a:avLst/>
                    </a:prstGeom>
                    <a:noFill/>
                    <a:ln>
                      <a:noFill/>
                    </a:ln>
                  </pic:spPr>
                </pic:pic>
              </a:graphicData>
            </a:graphic>
          </wp:inline>
        </w:drawing>
      </w:r>
      <w:r w:rsidR="0035540B">
        <w:rPr>
          <w:rFonts w:ascii="宋体" w:hAnsi="宋体" w:hint="eastAsia"/>
        </w:rPr>
        <w:t xml:space="preserve"> </w:t>
      </w:r>
    </w:p>
    <w:p w14:paraId="00264E6C" w14:textId="1C0D8200" w:rsidR="00E17033" w:rsidRPr="001B1942" w:rsidRDefault="00E17033" w:rsidP="00E17033">
      <w:pPr>
        <w:pStyle w:val="a3"/>
        <w:ind w:firstLine="400"/>
        <w:jc w:val="center"/>
        <w:rPr>
          <w:rFonts w:ascii="宋体" w:eastAsia="宋体" w:hAnsi="宋体"/>
          <w:color w:val="FF0000"/>
          <w:sz w:val="24"/>
          <w:szCs w:val="24"/>
        </w:rPr>
      </w:pPr>
      <w:bookmarkStart w:id="1" w:name="_Ref6144585"/>
      <w:r w:rsidRPr="001B1942">
        <w:rPr>
          <w:rFonts w:ascii="宋体" w:eastAsia="宋体" w:hAnsi="宋体"/>
          <w:color w:val="FF0000"/>
        </w:rPr>
        <w:t xml:space="preserve">表格 </w:t>
      </w:r>
      <w:r w:rsidR="0035540B">
        <w:rPr>
          <w:rFonts w:ascii="宋体" w:eastAsia="宋体" w:hAnsi="宋体"/>
          <w:color w:val="FF0000"/>
        </w:rPr>
        <w:fldChar w:fldCharType="begin"/>
      </w:r>
      <w:r w:rsidR="0035540B">
        <w:rPr>
          <w:rFonts w:ascii="宋体" w:eastAsia="宋体" w:hAnsi="宋体"/>
          <w:color w:val="FF0000"/>
        </w:rPr>
        <w:instrText xml:space="preserve"> SEQ 表格 \* ARABIC </w:instrText>
      </w:r>
      <w:r w:rsidR="0035540B">
        <w:rPr>
          <w:rFonts w:ascii="宋体" w:eastAsia="宋体" w:hAnsi="宋体"/>
          <w:color w:val="FF0000"/>
        </w:rPr>
        <w:fldChar w:fldCharType="separate"/>
      </w:r>
      <w:r w:rsidR="007E01BE">
        <w:rPr>
          <w:rFonts w:ascii="宋体" w:eastAsia="宋体" w:hAnsi="宋体"/>
          <w:noProof/>
          <w:color w:val="FF0000"/>
        </w:rPr>
        <w:t>1</w:t>
      </w:r>
      <w:r w:rsidR="0035540B">
        <w:rPr>
          <w:rFonts w:ascii="宋体" w:eastAsia="宋体" w:hAnsi="宋体"/>
          <w:color w:val="FF0000"/>
        </w:rPr>
        <w:fldChar w:fldCharType="end"/>
      </w:r>
      <w:bookmarkEnd w:id="1"/>
    </w:p>
    <w:p w14:paraId="589B39C2" w14:textId="77777777" w:rsidR="000C7225" w:rsidRDefault="000C7225" w:rsidP="0035540B">
      <w:pPr>
        <w:ind w:firstLine="480"/>
        <w:rPr>
          <w:rFonts w:ascii="宋体" w:hAnsi="宋体"/>
          <w:szCs w:val="24"/>
        </w:rPr>
      </w:pPr>
      <w:r>
        <w:rPr>
          <w:rFonts w:ascii="宋体" w:hAnsi="宋体" w:hint="eastAsia"/>
          <w:szCs w:val="24"/>
        </w:rPr>
        <w:t>从描述统计的结果我们可以得到以下的结论：</w:t>
      </w:r>
    </w:p>
    <w:p w14:paraId="5603ADFB" w14:textId="77777777" w:rsidR="0035540B" w:rsidRPr="007843B9" w:rsidRDefault="007843B9" w:rsidP="007843B9">
      <w:pPr>
        <w:ind w:firstLineChars="0" w:firstLine="480"/>
        <w:rPr>
          <w:rFonts w:ascii="宋体" w:hAnsi="宋体"/>
          <w:szCs w:val="24"/>
        </w:rPr>
      </w:pPr>
      <w:r w:rsidRPr="007843B9">
        <w:rPr>
          <w:rFonts w:ascii="宋体" w:hAnsi="宋体" w:hint="eastAsia"/>
          <w:szCs w:val="24"/>
        </w:rPr>
        <w:t>①</w:t>
      </w:r>
      <w:r w:rsidR="000C7225" w:rsidRPr="007843B9">
        <w:rPr>
          <w:rFonts w:ascii="宋体" w:hAnsi="宋体" w:hint="eastAsia"/>
          <w:szCs w:val="24"/>
        </w:rPr>
        <w:t>根据平均值和中位数来看，股票市场的收益率是最高的，而债券及期货的收益率则远不及股票市场，南华农业品的平均收益率甚至为负值</w:t>
      </w:r>
    </w:p>
    <w:p w14:paraId="66364AA0" w14:textId="77777777" w:rsidR="000C7225" w:rsidRPr="007843B9" w:rsidRDefault="007843B9" w:rsidP="007843B9">
      <w:pPr>
        <w:ind w:firstLineChars="0" w:firstLine="480"/>
        <w:rPr>
          <w:rFonts w:ascii="宋体" w:hAnsi="宋体"/>
          <w:szCs w:val="24"/>
        </w:rPr>
      </w:pPr>
      <w:r>
        <w:rPr>
          <w:rFonts w:ascii="宋体" w:hAnsi="宋体" w:hint="eastAsia"/>
          <w:szCs w:val="24"/>
        </w:rPr>
        <w:t>②</w:t>
      </w:r>
      <w:r w:rsidR="000C7225" w:rsidRPr="007843B9">
        <w:rPr>
          <w:rFonts w:ascii="宋体" w:hAnsi="宋体" w:hint="eastAsia"/>
          <w:szCs w:val="24"/>
        </w:rPr>
        <w:t>根据标准差来看，股票市场的波动性最大，期货市场次之，而债券市场的波动性是最小的。这意味着股票市场及期货市场的风险较高，而债券市场的风险则比较小</w:t>
      </w:r>
    </w:p>
    <w:p w14:paraId="4BD9D12A" w14:textId="77777777" w:rsidR="000C7225" w:rsidRPr="007843B9" w:rsidRDefault="007843B9" w:rsidP="007843B9">
      <w:pPr>
        <w:ind w:firstLineChars="0" w:firstLine="480"/>
        <w:rPr>
          <w:rFonts w:ascii="宋体" w:hAnsi="宋体"/>
          <w:szCs w:val="24"/>
        </w:rPr>
      </w:pPr>
      <w:r>
        <w:rPr>
          <w:rFonts w:ascii="宋体" w:hAnsi="宋体" w:hint="eastAsia"/>
          <w:szCs w:val="24"/>
        </w:rPr>
        <w:t>③</w:t>
      </w:r>
      <w:r w:rsidR="00616765" w:rsidRPr="007843B9">
        <w:rPr>
          <w:rFonts w:ascii="宋体" w:hAnsi="宋体" w:hint="eastAsia"/>
          <w:szCs w:val="24"/>
        </w:rPr>
        <w:t>根据最大值和最小值，同样可以看出股票市场和期货市场的风险是较大的，贸然投资可能导致较大的投资损失</w:t>
      </w:r>
    </w:p>
    <w:p w14:paraId="7E3A0774" w14:textId="77777777" w:rsidR="000C7225" w:rsidRPr="007843B9" w:rsidRDefault="007843B9" w:rsidP="007843B9">
      <w:pPr>
        <w:ind w:firstLineChars="0" w:firstLine="480"/>
        <w:rPr>
          <w:rFonts w:ascii="宋体" w:hAnsi="宋体"/>
          <w:szCs w:val="24"/>
        </w:rPr>
      </w:pPr>
      <w:r>
        <w:rPr>
          <w:rFonts w:ascii="宋体" w:hAnsi="宋体" w:hint="eastAsia"/>
          <w:szCs w:val="24"/>
        </w:rPr>
        <w:t>④</w:t>
      </w:r>
      <w:r w:rsidR="00616765" w:rsidRPr="007843B9">
        <w:rPr>
          <w:rFonts w:ascii="宋体" w:hAnsi="宋体" w:hint="eastAsia"/>
          <w:szCs w:val="24"/>
        </w:rPr>
        <w:t>根据偏度和峰度来看，</w:t>
      </w:r>
      <w:r w:rsidR="00C4395D" w:rsidRPr="007843B9">
        <w:rPr>
          <w:rFonts w:ascii="宋体" w:hAnsi="宋体" w:hint="eastAsia"/>
          <w:szCs w:val="24"/>
        </w:rPr>
        <w:t>除南华工业品之外，其余的数据均符合金融数据的尖峰特征，说明市场中的收益率变化较大。而且股票市场、债券市场以及南华农业品为左偏，南华工业品为右偏。</w:t>
      </w:r>
    </w:p>
    <w:p w14:paraId="133CED1F" w14:textId="6F69C860" w:rsidR="008019D2" w:rsidRPr="001B1942" w:rsidRDefault="007843B9" w:rsidP="00923D62">
      <w:pPr>
        <w:ind w:firstLine="480"/>
        <w:rPr>
          <w:rFonts w:ascii="宋体" w:hAnsi="宋体"/>
          <w:szCs w:val="24"/>
        </w:rPr>
      </w:pPr>
      <w:r>
        <w:rPr>
          <w:rFonts w:ascii="宋体" w:hAnsi="宋体" w:hint="eastAsia"/>
          <w:szCs w:val="24"/>
        </w:rPr>
        <w:lastRenderedPageBreak/>
        <w:t>（2）</w:t>
      </w:r>
      <w:r w:rsidR="00923D62" w:rsidRPr="001B1942">
        <w:rPr>
          <w:rFonts w:ascii="宋体" w:hAnsi="宋体" w:hint="eastAsia"/>
          <w:szCs w:val="24"/>
        </w:rPr>
        <w:t>根据筛选得到的周收益率数据，我们计算出了资产</w:t>
      </w:r>
      <w:proofErr w:type="gramStart"/>
      <w:r w:rsidR="00923D62" w:rsidRPr="001B1942">
        <w:rPr>
          <w:rFonts w:ascii="宋体" w:hAnsi="宋体" w:hint="eastAsia"/>
          <w:szCs w:val="24"/>
        </w:rPr>
        <w:t>的</w:t>
      </w:r>
      <w:r w:rsidR="00BB24D8" w:rsidRPr="001B1942">
        <w:rPr>
          <w:rFonts w:ascii="宋体" w:hAnsi="宋体" w:hint="eastAsia"/>
          <w:szCs w:val="24"/>
        </w:rPr>
        <w:t>年化</w:t>
      </w:r>
      <w:r w:rsidR="00923D62" w:rsidRPr="001B1942">
        <w:rPr>
          <w:rFonts w:ascii="宋体" w:hAnsi="宋体" w:hint="eastAsia"/>
          <w:szCs w:val="24"/>
        </w:rPr>
        <w:t>收益率</w:t>
      </w:r>
      <w:proofErr w:type="gramEnd"/>
      <w:r w:rsidR="00923D62" w:rsidRPr="001B1942">
        <w:rPr>
          <w:rFonts w:ascii="宋体" w:hAnsi="宋体" w:hint="eastAsia"/>
          <w:szCs w:val="24"/>
        </w:rPr>
        <w:t>（</w:t>
      </w:r>
      <w:r w:rsidR="00E17033" w:rsidRPr="001B1942">
        <w:rPr>
          <w:rFonts w:ascii="宋体" w:hAnsi="宋体"/>
          <w:szCs w:val="24"/>
        </w:rPr>
        <w:fldChar w:fldCharType="begin"/>
      </w:r>
      <w:r w:rsidR="00E17033" w:rsidRPr="001B1942">
        <w:rPr>
          <w:rFonts w:ascii="宋体" w:hAnsi="宋体"/>
          <w:szCs w:val="24"/>
        </w:rPr>
        <w:instrText xml:space="preserve"> </w:instrText>
      </w:r>
      <w:r w:rsidR="00E17033" w:rsidRPr="001B1942">
        <w:rPr>
          <w:rFonts w:ascii="宋体" w:hAnsi="宋体" w:hint="eastAsia"/>
          <w:szCs w:val="24"/>
        </w:rPr>
        <w:instrText>REF _Ref6144607 \h</w:instrText>
      </w:r>
      <w:r w:rsidR="00E17033" w:rsidRPr="001B1942">
        <w:rPr>
          <w:rFonts w:ascii="宋体" w:hAnsi="宋体"/>
          <w:szCs w:val="24"/>
        </w:rPr>
        <w:instrText xml:space="preserve"> </w:instrText>
      </w:r>
      <w:r w:rsidR="001B1942">
        <w:rPr>
          <w:rFonts w:ascii="宋体" w:hAnsi="宋体"/>
          <w:szCs w:val="24"/>
        </w:rPr>
        <w:instrText xml:space="preserve"> \* MERGEFORMAT </w:instrText>
      </w:r>
      <w:r w:rsidR="00E17033" w:rsidRPr="001B1942">
        <w:rPr>
          <w:rFonts w:ascii="宋体" w:hAnsi="宋体"/>
          <w:szCs w:val="24"/>
        </w:rPr>
      </w:r>
      <w:r w:rsidR="00E17033" w:rsidRPr="001B1942">
        <w:rPr>
          <w:rFonts w:ascii="宋体" w:hAnsi="宋体"/>
          <w:szCs w:val="24"/>
        </w:rPr>
        <w:fldChar w:fldCharType="separate"/>
      </w:r>
      <w:r w:rsidR="007E01BE" w:rsidRPr="007E01BE">
        <w:rPr>
          <w:rFonts w:ascii="宋体" w:hAnsi="宋体" w:hint="eastAsia"/>
        </w:rPr>
        <w:t xml:space="preserve"> </w:t>
      </w:r>
      <w:r w:rsidR="007E01BE" w:rsidRPr="007E01BE">
        <w:rPr>
          <w:rFonts w:ascii="宋体" w:hAnsi="宋体"/>
        </w:rPr>
        <w:t xml:space="preserve">            表格</w:t>
      </w:r>
      <w:r w:rsidR="007E01BE" w:rsidRPr="007E01BE">
        <w:rPr>
          <w:rFonts w:ascii="宋体" w:hAnsi="宋体"/>
          <w:noProof/>
        </w:rPr>
        <w:t xml:space="preserve"> </w:t>
      </w:r>
      <w:r w:rsidR="007E01BE">
        <w:rPr>
          <w:rFonts w:ascii="宋体" w:hAnsi="宋体"/>
          <w:noProof/>
          <w:color w:val="FF0000"/>
        </w:rPr>
        <w:t>2</w:t>
      </w:r>
      <w:r w:rsidR="00E17033" w:rsidRPr="001B1942">
        <w:rPr>
          <w:rFonts w:ascii="宋体" w:hAnsi="宋体"/>
          <w:szCs w:val="24"/>
        </w:rPr>
        <w:fldChar w:fldCharType="end"/>
      </w:r>
      <w:r w:rsidR="00923D62" w:rsidRPr="001B1942">
        <w:rPr>
          <w:rFonts w:ascii="宋体" w:hAnsi="宋体" w:hint="eastAsia"/>
          <w:szCs w:val="24"/>
        </w:rPr>
        <w:t>）</w:t>
      </w:r>
      <w:r w:rsidR="0035540B">
        <w:rPr>
          <w:rFonts w:ascii="宋体" w:hAnsi="宋体" w:hint="eastAsia"/>
          <w:szCs w:val="24"/>
        </w:rPr>
        <w:t>、相关系数矩阵（</w:t>
      </w:r>
      <w:r w:rsidR="0035540B" w:rsidRPr="0035540B">
        <w:rPr>
          <w:rFonts w:ascii="宋体" w:hAnsi="宋体"/>
          <w:szCs w:val="24"/>
        </w:rPr>
        <w:fldChar w:fldCharType="begin"/>
      </w:r>
      <w:r w:rsidR="0035540B" w:rsidRPr="0035540B">
        <w:rPr>
          <w:rFonts w:ascii="宋体" w:hAnsi="宋体"/>
          <w:szCs w:val="24"/>
        </w:rPr>
        <w:instrText xml:space="preserve"> REF _Ref6172385 \h </w:instrText>
      </w:r>
      <w:r w:rsidR="0035540B" w:rsidRPr="0035540B">
        <w:rPr>
          <w:rFonts w:ascii="宋体" w:hAnsi="宋体"/>
          <w:szCs w:val="24"/>
        </w:rPr>
      </w:r>
      <w:r w:rsidR="0035540B" w:rsidRPr="0035540B">
        <w:rPr>
          <w:rFonts w:ascii="宋体" w:hAnsi="宋体"/>
          <w:szCs w:val="24"/>
        </w:rPr>
        <w:fldChar w:fldCharType="separate"/>
      </w:r>
      <w:r w:rsidR="007E01BE" w:rsidRPr="0035540B">
        <w:rPr>
          <w:rFonts w:ascii="宋体" w:hAnsi="宋体"/>
          <w:color w:val="FF0000"/>
        </w:rPr>
        <w:t xml:space="preserve">表格 </w:t>
      </w:r>
      <w:r w:rsidR="007E01BE">
        <w:rPr>
          <w:rFonts w:ascii="宋体" w:hAnsi="宋体"/>
          <w:noProof/>
          <w:color w:val="FF0000"/>
        </w:rPr>
        <w:t>4</w:t>
      </w:r>
      <w:r w:rsidR="0035540B" w:rsidRPr="0035540B">
        <w:rPr>
          <w:rFonts w:ascii="宋体" w:hAnsi="宋体"/>
          <w:szCs w:val="24"/>
        </w:rPr>
        <w:fldChar w:fldCharType="end"/>
      </w:r>
      <w:r w:rsidR="0035540B">
        <w:rPr>
          <w:rFonts w:ascii="宋体" w:hAnsi="宋体" w:hint="eastAsia"/>
          <w:szCs w:val="24"/>
        </w:rPr>
        <w:t>）以及</w:t>
      </w:r>
      <w:r w:rsidR="00923D62" w:rsidRPr="001B1942">
        <w:rPr>
          <w:rFonts w:ascii="宋体" w:hAnsi="宋体" w:hint="eastAsia"/>
          <w:szCs w:val="24"/>
        </w:rPr>
        <w:t>资产间的协方差矩阵（</w:t>
      </w:r>
      <w:r w:rsidR="00AD6A47" w:rsidRPr="001B1942">
        <w:rPr>
          <w:rFonts w:ascii="宋体" w:hAnsi="宋体"/>
          <w:szCs w:val="24"/>
        </w:rPr>
        <w:fldChar w:fldCharType="begin"/>
      </w:r>
      <w:r w:rsidR="00AD6A47" w:rsidRPr="001B1942">
        <w:rPr>
          <w:rFonts w:ascii="宋体" w:hAnsi="宋体"/>
          <w:szCs w:val="24"/>
        </w:rPr>
        <w:instrText xml:space="preserve"> </w:instrText>
      </w:r>
      <w:r w:rsidR="00AD6A47" w:rsidRPr="001B1942">
        <w:rPr>
          <w:rFonts w:ascii="宋体" w:hAnsi="宋体" w:hint="eastAsia"/>
          <w:szCs w:val="24"/>
        </w:rPr>
        <w:instrText>REF _Ref6144658 \h</w:instrText>
      </w:r>
      <w:r w:rsidR="00AD6A47" w:rsidRPr="001B1942">
        <w:rPr>
          <w:rFonts w:ascii="宋体" w:hAnsi="宋体"/>
          <w:szCs w:val="24"/>
        </w:rPr>
        <w:instrText xml:space="preserve"> </w:instrText>
      </w:r>
      <w:r w:rsidR="001B1942">
        <w:rPr>
          <w:rFonts w:ascii="宋体" w:hAnsi="宋体"/>
          <w:szCs w:val="24"/>
        </w:rPr>
        <w:instrText xml:space="preserve"> \* MERGEFORMAT </w:instrText>
      </w:r>
      <w:r w:rsidR="00AD6A47" w:rsidRPr="001B1942">
        <w:rPr>
          <w:rFonts w:ascii="宋体" w:hAnsi="宋体"/>
          <w:szCs w:val="24"/>
        </w:rPr>
      </w:r>
      <w:r w:rsidR="00AD6A47" w:rsidRPr="001B1942">
        <w:rPr>
          <w:rFonts w:ascii="宋体" w:hAnsi="宋体"/>
          <w:szCs w:val="24"/>
        </w:rPr>
        <w:fldChar w:fldCharType="separate"/>
      </w:r>
      <w:r w:rsidR="007E01BE" w:rsidRPr="007E01BE">
        <w:rPr>
          <w:rFonts w:ascii="宋体" w:hAnsi="宋体" w:hint="eastAsia"/>
        </w:rPr>
        <w:t>表格</w:t>
      </w:r>
      <w:r w:rsidR="007E01BE" w:rsidRPr="007E01BE">
        <w:rPr>
          <w:rFonts w:ascii="宋体" w:hAnsi="宋体"/>
        </w:rPr>
        <w:t>3</w:t>
      </w:r>
      <w:r w:rsidR="00AD6A47" w:rsidRPr="001B1942">
        <w:rPr>
          <w:rFonts w:ascii="宋体" w:hAnsi="宋体"/>
          <w:szCs w:val="24"/>
        </w:rPr>
        <w:fldChar w:fldCharType="end"/>
      </w:r>
      <w:r w:rsidR="00923D62" w:rsidRPr="001B1942">
        <w:rPr>
          <w:rFonts w:ascii="宋体" w:hAnsi="宋体" w:hint="eastAsia"/>
          <w:szCs w:val="24"/>
        </w:rPr>
        <w:t>）</w:t>
      </w:r>
      <w:r w:rsidR="00BB24D8" w:rsidRPr="001B1942">
        <w:rPr>
          <w:rFonts w:ascii="宋体" w:hAnsi="宋体" w:hint="eastAsia"/>
          <w:szCs w:val="24"/>
        </w:rPr>
        <w:t>。</w:t>
      </w:r>
    </w:p>
    <w:p w14:paraId="23617B08" w14:textId="77777777" w:rsidR="00E17033" w:rsidRPr="001B1942" w:rsidRDefault="008019D2" w:rsidP="007843B9">
      <w:pPr>
        <w:keepNext/>
        <w:ind w:firstLine="480"/>
        <w:rPr>
          <w:rFonts w:ascii="宋体" w:hAnsi="宋体"/>
        </w:rPr>
      </w:pPr>
      <w:r w:rsidRPr="001B1942">
        <w:rPr>
          <w:rFonts w:ascii="宋体" w:hAnsi="宋体"/>
          <w:noProof/>
        </w:rPr>
        <w:drawing>
          <wp:inline distT="0" distB="0" distL="0" distR="0" wp14:anchorId="59282479" wp14:editId="740C15CA">
            <wp:extent cx="5274310" cy="3498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827"/>
                    </a:xfrm>
                    <a:prstGeom prst="rect">
                      <a:avLst/>
                    </a:prstGeom>
                    <a:noFill/>
                    <a:ln>
                      <a:noFill/>
                    </a:ln>
                  </pic:spPr>
                </pic:pic>
              </a:graphicData>
            </a:graphic>
          </wp:inline>
        </w:drawing>
      </w:r>
    </w:p>
    <w:p w14:paraId="6DB9A14B" w14:textId="323313A3" w:rsidR="008019D2" w:rsidRPr="001B1942" w:rsidRDefault="00C4395D" w:rsidP="00C4395D">
      <w:pPr>
        <w:pStyle w:val="a3"/>
        <w:ind w:firstLine="400"/>
        <w:jc w:val="center"/>
        <w:rPr>
          <w:rFonts w:ascii="宋体" w:eastAsia="宋体" w:hAnsi="宋体"/>
          <w:color w:val="FF0000"/>
          <w:sz w:val="24"/>
          <w:szCs w:val="24"/>
        </w:rPr>
      </w:pPr>
      <w:bookmarkStart w:id="2" w:name="_Ref6144607"/>
      <w:r>
        <w:rPr>
          <w:rFonts w:ascii="宋体" w:eastAsia="宋体" w:hAnsi="宋体" w:hint="eastAsia"/>
          <w:color w:val="FF0000"/>
        </w:rPr>
        <w:t xml:space="preserve"> </w:t>
      </w:r>
      <w:r>
        <w:rPr>
          <w:rFonts w:ascii="宋体" w:eastAsia="宋体" w:hAnsi="宋体"/>
          <w:color w:val="FF0000"/>
        </w:rPr>
        <w:t xml:space="preserve">            </w:t>
      </w:r>
      <w:r w:rsidR="00E17033" w:rsidRPr="001B1942">
        <w:rPr>
          <w:rFonts w:ascii="宋体" w:eastAsia="宋体" w:hAnsi="宋体"/>
          <w:color w:val="FF0000"/>
        </w:rPr>
        <w:t xml:space="preserve">表格 </w:t>
      </w:r>
      <w:r w:rsidR="0035540B">
        <w:rPr>
          <w:rFonts w:ascii="宋体" w:eastAsia="宋体" w:hAnsi="宋体"/>
          <w:color w:val="FF0000"/>
        </w:rPr>
        <w:fldChar w:fldCharType="begin"/>
      </w:r>
      <w:r w:rsidR="0035540B">
        <w:rPr>
          <w:rFonts w:ascii="宋体" w:eastAsia="宋体" w:hAnsi="宋体"/>
          <w:color w:val="FF0000"/>
        </w:rPr>
        <w:instrText xml:space="preserve"> SEQ 表格 \* ARABIC </w:instrText>
      </w:r>
      <w:r w:rsidR="0035540B">
        <w:rPr>
          <w:rFonts w:ascii="宋体" w:eastAsia="宋体" w:hAnsi="宋体"/>
          <w:color w:val="FF0000"/>
        </w:rPr>
        <w:fldChar w:fldCharType="separate"/>
      </w:r>
      <w:r w:rsidR="007E01BE">
        <w:rPr>
          <w:rFonts w:ascii="宋体" w:eastAsia="宋体" w:hAnsi="宋体"/>
          <w:noProof/>
          <w:color w:val="FF0000"/>
        </w:rPr>
        <w:t>2</w:t>
      </w:r>
      <w:r w:rsidR="0035540B">
        <w:rPr>
          <w:rFonts w:ascii="宋体" w:eastAsia="宋体" w:hAnsi="宋体"/>
          <w:color w:val="FF0000"/>
        </w:rPr>
        <w:fldChar w:fldCharType="end"/>
      </w:r>
      <w:bookmarkEnd w:id="2"/>
      <w:r>
        <w:rPr>
          <w:rFonts w:ascii="宋体" w:eastAsia="宋体" w:hAnsi="宋体"/>
          <w:color w:val="FF0000"/>
        </w:rPr>
        <w:t xml:space="preserve"> </w:t>
      </w:r>
      <w:proofErr w:type="gramStart"/>
      <w:r>
        <w:rPr>
          <w:rFonts w:ascii="宋体" w:eastAsia="宋体" w:hAnsi="宋体" w:hint="eastAsia"/>
          <w:color w:val="FF0000"/>
        </w:rPr>
        <w:t>年化收益率</w:t>
      </w:r>
      <w:proofErr w:type="gramEnd"/>
    </w:p>
    <w:p w14:paraId="056DADB7" w14:textId="77777777" w:rsidR="00E17033" w:rsidRPr="001B1942" w:rsidRDefault="00E05313" w:rsidP="00E17033">
      <w:pPr>
        <w:keepNext/>
        <w:ind w:firstLine="480"/>
        <w:jc w:val="center"/>
        <w:rPr>
          <w:rFonts w:ascii="宋体" w:hAnsi="宋体"/>
        </w:rPr>
      </w:pPr>
      <w:r w:rsidRPr="001B1942">
        <w:rPr>
          <w:rFonts w:ascii="宋体" w:hAnsi="宋体"/>
          <w:noProof/>
        </w:rPr>
        <w:drawing>
          <wp:inline distT="0" distB="0" distL="0" distR="0" wp14:anchorId="0EACCC70" wp14:editId="162BA774">
            <wp:extent cx="5181082" cy="113284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8408" cy="1143188"/>
                    </a:xfrm>
                    <a:prstGeom prst="rect">
                      <a:avLst/>
                    </a:prstGeom>
                    <a:noFill/>
                    <a:ln>
                      <a:noFill/>
                    </a:ln>
                  </pic:spPr>
                </pic:pic>
              </a:graphicData>
            </a:graphic>
          </wp:inline>
        </w:drawing>
      </w:r>
    </w:p>
    <w:p w14:paraId="5BADF582" w14:textId="4D419C46" w:rsidR="00E17033" w:rsidRPr="001B1942" w:rsidRDefault="00515AD5" w:rsidP="00515AD5">
      <w:pPr>
        <w:pStyle w:val="a3"/>
        <w:ind w:firstLineChars="2000" w:firstLine="4000"/>
        <w:rPr>
          <w:rFonts w:ascii="宋体" w:eastAsia="宋体" w:hAnsi="宋体"/>
          <w:color w:val="FF0000"/>
        </w:rPr>
      </w:pPr>
      <w:bookmarkStart w:id="3" w:name="_Ref6144658"/>
      <w:r w:rsidRPr="001B1942">
        <w:rPr>
          <w:rFonts w:ascii="宋体" w:eastAsia="宋体" w:hAnsi="宋体" w:hint="eastAsia"/>
          <w:color w:val="FF0000"/>
        </w:rPr>
        <w:t>表格</w:t>
      </w:r>
      <w:r w:rsidR="0035540B">
        <w:rPr>
          <w:rFonts w:ascii="宋体" w:eastAsia="宋体" w:hAnsi="宋体"/>
          <w:color w:val="FF0000"/>
        </w:rPr>
        <w:fldChar w:fldCharType="begin"/>
      </w:r>
      <w:r w:rsidR="0035540B">
        <w:rPr>
          <w:rFonts w:ascii="宋体" w:eastAsia="宋体" w:hAnsi="宋体"/>
          <w:color w:val="FF0000"/>
        </w:rPr>
        <w:instrText xml:space="preserve"> </w:instrText>
      </w:r>
      <w:r w:rsidR="0035540B">
        <w:rPr>
          <w:rFonts w:ascii="宋体" w:eastAsia="宋体" w:hAnsi="宋体" w:hint="eastAsia"/>
          <w:color w:val="FF0000"/>
        </w:rPr>
        <w:instrText>SEQ 表格 \* ARABIC</w:instrText>
      </w:r>
      <w:r w:rsidR="0035540B">
        <w:rPr>
          <w:rFonts w:ascii="宋体" w:eastAsia="宋体" w:hAnsi="宋体"/>
          <w:color w:val="FF0000"/>
        </w:rPr>
        <w:instrText xml:space="preserve"> </w:instrText>
      </w:r>
      <w:r w:rsidR="0035540B">
        <w:rPr>
          <w:rFonts w:ascii="宋体" w:eastAsia="宋体" w:hAnsi="宋体"/>
          <w:color w:val="FF0000"/>
        </w:rPr>
        <w:fldChar w:fldCharType="separate"/>
      </w:r>
      <w:r w:rsidR="007E01BE">
        <w:rPr>
          <w:rFonts w:ascii="宋体" w:eastAsia="宋体" w:hAnsi="宋体"/>
          <w:noProof/>
          <w:color w:val="FF0000"/>
        </w:rPr>
        <w:t>3</w:t>
      </w:r>
      <w:r w:rsidR="0035540B">
        <w:rPr>
          <w:rFonts w:ascii="宋体" w:eastAsia="宋体" w:hAnsi="宋体"/>
          <w:color w:val="FF0000"/>
        </w:rPr>
        <w:fldChar w:fldCharType="end"/>
      </w:r>
      <w:bookmarkEnd w:id="3"/>
      <w:r w:rsidRPr="001B1942">
        <w:rPr>
          <w:rFonts w:ascii="宋体" w:eastAsia="宋体" w:hAnsi="宋体"/>
          <w:color w:val="FF0000"/>
        </w:rPr>
        <w:t xml:space="preserve"> </w:t>
      </w:r>
      <w:r w:rsidRPr="001B1942">
        <w:rPr>
          <w:rFonts w:ascii="宋体" w:eastAsia="宋体" w:hAnsi="宋体" w:hint="eastAsia"/>
          <w:color w:val="FF0000"/>
        </w:rPr>
        <w:t>协方差矩阵</w:t>
      </w:r>
    </w:p>
    <w:p w14:paraId="3BB066A0" w14:textId="77777777" w:rsidR="0035540B" w:rsidRDefault="00515AD5" w:rsidP="0035540B">
      <w:pPr>
        <w:keepNext/>
        <w:ind w:firstLine="480"/>
      </w:pPr>
      <w:r w:rsidRPr="001B1942">
        <w:rPr>
          <w:rFonts w:ascii="宋体" w:hAnsi="宋体"/>
          <w:noProof/>
          <w:szCs w:val="24"/>
        </w:rPr>
        <w:drawing>
          <wp:inline distT="0" distB="0" distL="0" distR="0" wp14:anchorId="23C3BA8D" wp14:editId="26D8698C">
            <wp:extent cx="4791075" cy="1104265"/>
            <wp:effectExtent l="0" t="0" r="9525" b="635"/>
            <wp:docPr id="2" name="图片 2" descr="C:\Users\asus\Documents\Tencent Files\1074792175\Image\C2C\H%MI8F`N0K_3_{JVFHF1$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074792175\Image\C2C\H%MI8F`N0K_3_{JVFHF1$L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1104265"/>
                    </a:xfrm>
                    <a:prstGeom prst="rect">
                      <a:avLst/>
                    </a:prstGeom>
                    <a:noFill/>
                    <a:ln>
                      <a:noFill/>
                    </a:ln>
                  </pic:spPr>
                </pic:pic>
              </a:graphicData>
            </a:graphic>
          </wp:inline>
        </w:drawing>
      </w:r>
    </w:p>
    <w:p w14:paraId="795DDF43" w14:textId="421AAE63" w:rsidR="00C4395D" w:rsidRPr="00C4395D" w:rsidRDefault="0035540B" w:rsidP="00C4395D">
      <w:pPr>
        <w:pStyle w:val="a3"/>
        <w:ind w:firstLineChars="2000" w:firstLine="4000"/>
        <w:rPr>
          <w:rFonts w:ascii="宋体" w:eastAsia="宋体" w:hAnsi="宋体"/>
          <w:color w:val="FF0000"/>
        </w:rPr>
      </w:pPr>
      <w:bookmarkStart w:id="4" w:name="_Ref6172385"/>
      <w:bookmarkStart w:id="5" w:name="_Ref6172378"/>
      <w:r w:rsidRPr="0035540B">
        <w:rPr>
          <w:rFonts w:ascii="宋体" w:eastAsia="宋体" w:hAnsi="宋体"/>
          <w:color w:val="FF0000"/>
        </w:rPr>
        <w:t xml:space="preserve">表格 </w:t>
      </w:r>
      <w:r w:rsidRPr="0035540B">
        <w:rPr>
          <w:rFonts w:ascii="宋体" w:eastAsia="宋体" w:hAnsi="宋体"/>
          <w:color w:val="FF0000"/>
        </w:rPr>
        <w:fldChar w:fldCharType="begin"/>
      </w:r>
      <w:r w:rsidRPr="0035540B">
        <w:rPr>
          <w:rFonts w:ascii="宋体" w:eastAsia="宋体" w:hAnsi="宋体"/>
          <w:color w:val="FF0000"/>
        </w:rPr>
        <w:instrText xml:space="preserve"> SEQ 表格 \* ARABIC </w:instrText>
      </w:r>
      <w:r w:rsidRPr="0035540B">
        <w:rPr>
          <w:rFonts w:ascii="宋体" w:eastAsia="宋体" w:hAnsi="宋体"/>
          <w:color w:val="FF0000"/>
        </w:rPr>
        <w:fldChar w:fldCharType="separate"/>
      </w:r>
      <w:r w:rsidR="007E01BE">
        <w:rPr>
          <w:rFonts w:ascii="宋体" w:eastAsia="宋体" w:hAnsi="宋体"/>
          <w:noProof/>
          <w:color w:val="FF0000"/>
        </w:rPr>
        <w:t>4</w:t>
      </w:r>
      <w:r w:rsidRPr="0035540B">
        <w:rPr>
          <w:rFonts w:ascii="宋体" w:eastAsia="宋体" w:hAnsi="宋体"/>
          <w:color w:val="FF0000"/>
        </w:rPr>
        <w:fldChar w:fldCharType="end"/>
      </w:r>
      <w:bookmarkEnd w:id="4"/>
      <w:r>
        <w:rPr>
          <w:rFonts w:ascii="宋体" w:eastAsia="宋体" w:hAnsi="宋体"/>
          <w:color w:val="FF0000"/>
        </w:rPr>
        <w:t xml:space="preserve"> </w:t>
      </w:r>
      <w:r w:rsidRPr="001B1942">
        <w:rPr>
          <w:rFonts w:ascii="宋体" w:eastAsia="宋体" w:hAnsi="宋体" w:hint="eastAsia"/>
          <w:color w:val="FF0000"/>
        </w:rPr>
        <w:t>相关系数矩阵</w:t>
      </w:r>
      <w:bookmarkEnd w:id="5"/>
    </w:p>
    <w:p w14:paraId="214B170F" w14:textId="77777777" w:rsidR="00A04584" w:rsidRDefault="00C4395D" w:rsidP="00A04584">
      <w:pPr>
        <w:ind w:firstLine="480"/>
        <w:rPr>
          <w:rFonts w:ascii="宋体" w:hAnsi="宋体"/>
          <w:szCs w:val="24"/>
        </w:rPr>
      </w:pPr>
      <w:r w:rsidRPr="00C4395D">
        <w:rPr>
          <w:rFonts w:ascii="宋体" w:hAnsi="宋体" w:hint="eastAsia"/>
          <w:szCs w:val="24"/>
        </w:rPr>
        <w:t>从以上三个表格可看出，</w:t>
      </w:r>
      <w:r>
        <w:rPr>
          <w:rFonts w:ascii="宋体" w:hAnsi="宋体" w:hint="eastAsia"/>
          <w:szCs w:val="24"/>
        </w:rPr>
        <w:t>相同市场的指数之间是正相关关系，而不同的市场间的相关性较小，或者呈现负相关关系，因此我们可以认为同时配置以上资产可以较好地分散风险。</w:t>
      </w:r>
    </w:p>
    <w:p w14:paraId="58C06EE4" w14:textId="77777777" w:rsidR="000B033F" w:rsidRPr="00A04584" w:rsidRDefault="00A04584" w:rsidP="00A04584">
      <w:pPr>
        <w:spacing w:beforeLines="50" w:before="156" w:afterLines="50" w:after="156"/>
        <w:ind w:firstLineChars="0" w:firstLine="0"/>
        <w:rPr>
          <w:b/>
          <w:sz w:val="28"/>
        </w:rPr>
      </w:pPr>
      <w:r w:rsidRPr="00A04584">
        <w:rPr>
          <w:rFonts w:hint="eastAsia"/>
          <w:b/>
          <w:sz w:val="28"/>
        </w:rPr>
        <w:t>三</w:t>
      </w:r>
      <w:r w:rsidR="007843B9" w:rsidRPr="00A04584">
        <w:rPr>
          <w:rFonts w:hint="eastAsia"/>
          <w:b/>
          <w:sz w:val="28"/>
        </w:rPr>
        <w:t>、</w:t>
      </w:r>
      <w:r w:rsidR="000C7225" w:rsidRPr="00A04584">
        <w:rPr>
          <w:rFonts w:hint="eastAsia"/>
          <w:b/>
          <w:sz w:val="28"/>
        </w:rPr>
        <w:t>投资方案设计</w:t>
      </w:r>
    </w:p>
    <w:p w14:paraId="696B15DD" w14:textId="77777777" w:rsidR="00D658D6" w:rsidRPr="001B1942" w:rsidRDefault="00D658D6" w:rsidP="00C74729">
      <w:pPr>
        <w:ind w:firstLine="480"/>
        <w:rPr>
          <w:rFonts w:ascii="宋体" w:hAnsi="宋体"/>
          <w:szCs w:val="24"/>
        </w:rPr>
      </w:pPr>
      <w:r w:rsidRPr="001B1942">
        <w:rPr>
          <w:rFonts w:ascii="宋体" w:hAnsi="宋体" w:hint="eastAsia"/>
          <w:szCs w:val="24"/>
        </w:rPr>
        <w:t>下面我们</w:t>
      </w:r>
      <w:r w:rsidR="00C4395D">
        <w:rPr>
          <w:rFonts w:ascii="宋体" w:hAnsi="宋体" w:hint="eastAsia"/>
          <w:szCs w:val="24"/>
        </w:rPr>
        <w:t>先使用马科维茨方法</w:t>
      </w:r>
      <w:r w:rsidRPr="001B1942">
        <w:rPr>
          <w:rFonts w:ascii="宋体" w:hAnsi="宋体" w:hint="eastAsia"/>
          <w:szCs w:val="24"/>
        </w:rPr>
        <w:t>分为</w:t>
      </w:r>
      <w:r w:rsidR="00AD6A47" w:rsidRPr="001B1942">
        <w:rPr>
          <w:rFonts w:ascii="宋体" w:hAnsi="宋体" w:hint="eastAsia"/>
          <w:szCs w:val="24"/>
        </w:rPr>
        <w:t>四</w:t>
      </w:r>
      <w:r w:rsidRPr="001B1942">
        <w:rPr>
          <w:rFonts w:ascii="宋体" w:hAnsi="宋体" w:hint="eastAsia"/>
          <w:szCs w:val="24"/>
        </w:rPr>
        <w:t>个方案去考察资本配置。</w:t>
      </w:r>
      <w:r w:rsidR="00135264">
        <w:rPr>
          <w:rFonts w:ascii="宋体" w:hAnsi="宋体" w:hint="eastAsia"/>
          <w:szCs w:val="24"/>
        </w:rPr>
        <w:t>我们首先随机1</w:t>
      </w:r>
      <w:r w:rsidR="00135264">
        <w:rPr>
          <w:rFonts w:ascii="宋体" w:hAnsi="宋体"/>
          <w:szCs w:val="24"/>
        </w:rPr>
        <w:t>00</w:t>
      </w:r>
      <w:r w:rsidR="00135264">
        <w:rPr>
          <w:rFonts w:ascii="宋体" w:hAnsi="宋体" w:hint="eastAsia"/>
          <w:szCs w:val="24"/>
        </w:rPr>
        <w:t>，</w:t>
      </w:r>
      <w:r w:rsidR="00135264">
        <w:rPr>
          <w:rFonts w:ascii="宋体" w:hAnsi="宋体"/>
          <w:szCs w:val="24"/>
        </w:rPr>
        <w:t>000</w:t>
      </w:r>
      <w:r w:rsidR="00135264">
        <w:rPr>
          <w:rFonts w:ascii="宋体" w:hAnsi="宋体" w:hint="eastAsia"/>
          <w:szCs w:val="24"/>
        </w:rPr>
        <w:t>组权重值，得到资产组合可行集，然后再结合国债收益率计算出最大的夏普比率，此时的资产组合权重，期望收益以及风险。</w:t>
      </w:r>
    </w:p>
    <w:p w14:paraId="4C32B4D9" w14:textId="77777777" w:rsidR="00E05313" w:rsidRPr="001B1942" w:rsidRDefault="00C74729" w:rsidP="00C74729">
      <w:pPr>
        <w:ind w:firstLine="480"/>
        <w:rPr>
          <w:rFonts w:ascii="宋体" w:hAnsi="宋体"/>
          <w:szCs w:val="24"/>
        </w:rPr>
      </w:pPr>
      <w:r w:rsidRPr="001B1942">
        <w:rPr>
          <w:rFonts w:ascii="宋体" w:hAnsi="宋体" w:hint="eastAsia"/>
          <w:szCs w:val="24"/>
        </w:rPr>
        <w:t>第一种方案是只考虑股票市场，即高风险资产。</w:t>
      </w:r>
    </w:p>
    <w:p w14:paraId="5050C272" w14:textId="77777777" w:rsidR="008B02A2" w:rsidRPr="001B1942" w:rsidRDefault="008B02A2" w:rsidP="00C74729">
      <w:pPr>
        <w:ind w:firstLine="480"/>
        <w:rPr>
          <w:rFonts w:ascii="宋体" w:hAnsi="宋体"/>
          <w:szCs w:val="24"/>
        </w:rPr>
      </w:pPr>
      <w:r w:rsidRPr="001B1942">
        <w:rPr>
          <w:rFonts w:ascii="宋体" w:hAnsi="宋体"/>
          <w:noProof/>
        </w:rPr>
        <w:lastRenderedPageBreak/>
        <w:drawing>
          <wp:inline distT="0" distB="0" distL="0" distR="0" wp14:anchorId="5755EDC9" wp14:editId="16900E44">
            <wp:extent cx="4746510" cy="292928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835" cy="2959722"/>
                    </a:xfrm>
                    <a:prstGeom prst="rect">
                      <a:avLst/>
                    </a:prstGeom>
                  </pic:spPr>
                </pic:pic>
              </a:graphicData>
            </a:graphic>
          </wp:inline>
        </w:drawing>
      </w:r>
    </w:p>
    <w:p w14:paraId="4540728B" w14:textId="77777777" w:rsidR="00FE0467" w:rsidRPr="001B1942" w:rsidRDefault="00FE0467" w:rsidP="00C74729">
      <w:pPr>
        <w:ind w:firstLine="480"/>
        <w:rPr>
          <w:rFonts w:ascii="宋体" w:hAnsi="宋体"/>
          <w:szCs w:val="24"/>
        </w:rPr>
      </w:pPr>
      <w:r w:rsidRPr="001B1942">
        <w:rPr>
          <w:rFonts w:ascii="宋体" w:hAnsi="宋体" w:hint="eastAsia"/>
          <w:szCs w:val="24"/>
        </w:rPr>
        <w:t>第二种方案是将中债纳入投资组合，即股票和债券的组合。</w:t>
      </w:r>
    </w:p>
    <w:p w14:paraId="5477243F" w14:textId="77777777" w:rsidR="001B5399" w:rsidRPr="001B1942" w:rsidRDefault="001B5399" w:rsidP="00C74729">
      <w:pPr>
        <w:ind w:firstLine="480"/>
        <w:rPr>
          <w:rFonts w:ascii="宋体" w:hAnsi="宋体"/>
          <w:szCs w:val="24"/>
        </w:rPr>
      </w:pPr>
      <w:r w:rsidRPr="001B1942">
        <w:rPr>
          <w:rFonts w:ascii="宋体" w:hAnsi="宋体"/>
          <w:noProof/>
        </w:rPr>
        <w:drawing>
          <wp:inline distT="0" distB="0" distL="0" distR="0" wp14:anchorId="2F7FFCCD" wp14:editId="5C1223DB">
            <wp:extent cx="5274310" cy="325310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3105"/>
                    </a:xfrm>
                    <a:prstGeom prst="rect">
                      <a:avLst/>
                    </a:prstGeom>
                  </pic:spPr>
                </pic:pic>
              </a:graphicData>
            </a:graphic>
          </wp:inline>
        </w:drawing>
      </w:r>
    </w:p>
    <w:p w14:paraId="79B67859" w14:textId="77777777" w:rsidR="00D658D6" w:rsidRPr="001B1942" w:rsidRDefault="00D658D6" w:rsidP="00C74729">
      <w:pPr>
        <w:ind w:firstLine="480"/>
        <w:rPr>
          <w:rFonts w:ascii="宋体" w:hAnsi="宋体"/>
          <w:szCs w:val="24"/>
        </w:rPr>
      </w:pPr>
      <w:r w:rsidRPr="001B1942">
        <w:rPr>
          <w:rFonts w:ascii="宋体" w:hAnsi="宋体" w:hint="eastAsia"/>
          <w:szCs w:val="24"/>
        </w:rPr>
        <w:t>由于南华农业品</w:t>
      </w:r>
      <w:proofErr w:type="gramStart"/>
      <w:r w:rsidRPr="001B1942">
        <w:rPr>
          <w:rFonts w:ascii="宋体" w:hAnsi="宋体" w:hint="eastAsia"/>
          <w:szCs w:val="24"/>
        </w:rPr>
        <w:t>的年化收益率</w:t>
      </w:r>
      <w:proofErr w:type="gramEnd"/>
      <w:r w:rsidRPr="001B1942">
        <w:rPr>
          <w:rFonts w:ascii="宋体" w:hAnsi="宋体" w:hint="eastAsia"/>
          <w:szCs w:val="24"/>
        </w:rPr>
        <w:t>为负，但与其他资产存在负的相关系数，因此</w:t>
      </w:r>
      <w:r w:rsidR="00FE0467" w:rsidRPr="001B1942">
        <w:rPr>
          <w:rFonts w:ascii="宋体" w:hAnsi="宋体" w:hint="eastAsia"/>
          <w:szCs w:val="24"/>
        </w:rPr>
        <w:t>虽然会降低收益率但</w:t>
      </w:r>
      <w:r w:rsidRPr="001B1942">
        <w:rPr>
          <w:rFonts w:ascii="宋体" w:hAnsi="宋体" w:hint="eastAsia"/>
          <w:szCs w:val="24"/>
        </w:rPr>
        <w:t>也可以在一定程度上分散风险，所以我们分为两个方案研究</w:t>
      </w:r>
      <w:r w:rsidR="00FE0467" w:rsidRPr="001B1942">
        <w:rPr>
          <w:rFonts w:ascii="宋体" w:hAnsi="宋体" w:hint="eastAsia"/>
          <w:szCs w:val="24"/>
        </w:rPr>
        <w:t>。</w:t>
      </w:r>
    </w:p>
    <w:p w14:paraId="6833EB03" w14:textId="77777777" w:rsidR="00923D62" w:rsidRPr="001B1942" w:rsidRDefault="0008604C" w:rsidP="00923D62">
      <w:pPr>
        <w:ind w:firstLine="480"/>
        <w:rPr>
          <w:rFonts w:ascii="宋体" w:hAnsi="宋体"/>
          <w:szCs w:val="24"/>
        </w:rPr>
      </w:pPr>
      <w:r w:rsidRPr="001B1942">
        <w:rPr>
          <w:rFonts w:ascii="宋体" w:hAnsi="宋体" w:hint="eastAsia"/>
          <w:szCs w:val="24"/>
        </w:rPr>
        <w:t>第</w:t>
      </w:r>
      <w:r w:rsidR="00D658D6" w:rsidRPr="001B1942">
        <w:rPr>
          <w:rFonts w:ascii="宋体" w:hAnsi="宋体" w:hint="eastAsia"/>
          <w:szCs w:val="24"/>
        </w:rPr>
        <w:t>三</w:t>
      </w:r>
      <w:r w:rsidRPr="001B1942">
        <w:rPr>
          <w:rFonts w:ascii="宋体" w:hAnsi="宋体" w:hint="eastAsia"/>
          <w:szCs w:val="24"/>
        </w:rPr>
        <w:t>种方案是将南华</w:t>
      </w:r>
      <w:r w:rsidR="00D658D6" w:rsidRPr="001B1942">
        <w:rPr>
          <w:rFonts w:ascii="宋体" w:hAnsi="宋体" w:hint="eastAsia"/>
          <w:szCs w:val="24"/>
        </w:rPr>
        <w:t>工业品</w:t>
      </w:r>
      <w:r w:rsidRPr="001B1942">
        <w:rPr>
          <w:rFonts w:ascii="宋体" w:hAnsi="宋体" w:hint="eastAsia"/>
          <w:szCs w:val="24"/>
        </w:rPr>
        <w:t>产品纳入资产组合，进行资产配置研究</w:t>
      </w:r>
      <w:r w:rsidR="00C74729" w:rsidRPr="001B1942">
        <w:rPr>
          <w:rFonts w:ascii="宋体" w:hAnsi="宋体" w:hint="eastAsia"/>
          <w:szCs w:val="24"/>
        </w:rPr>
        <w:t>。取权重随机数1</w:t>
      </w:r>
      <w:r w:rsidR="00C74729" w:rsidRPr="001B1942">
        <w:rPr>
          <w:rFonts w:ascii="宋体" w:hAnsi="宋体"/>
          <w:szCs w:val="24"/>
        </w:rPr>
        <w:t>00</w:t>
      </w:r>
      <w:r w:rsidR="00C74729" w:rsidRPr="001B1942">
        <w:rPr>
          <w:rFonts w:ascii="宋体" w:hAnsi="宋体" w:hint="eastAsia"/>
          <w:szCs w:val="24"/>
        </w:rPr>
        <w:t>,</w:t>
      </w:r>
      <w:r w:rsidR="00C74729" w:rsidRPr="001B1942">
        <w:rPr>
          <w:rFonts w:ascii="宋体" w:hAnsi="宋体"/>
          <w:szCs w:val="24"/>
        </w:rPr>
        <w:t>000</w:t>
      </w:r>
      <w:r w:rsidR="00C74729" w:rsidRPr="001B1942">
        <w:rPr>
          <w:rFonts w:ascii="宋体" w:hAnsi="宋体" w:hint="eastAsia"/>
          <w:szCs w:val="24"/>
        </w:rPr>
        <w:t>组，得到的风险收益组合结果如下图。</w:t>
      </w:r>
    </w:p>
    <w:p w14:paraId="2ACBB585" w14:textId="77777777" w:rsidR="001B5399" w:rsidRPr="001B1942" w:rsidRDefault="001B5399" w:rsidP="00923D62">
      <w:pPr>
        <w:ind w:firstLine="480"/>
        <w:rPr>
          <w:rFonts w:ascii="宋体" w:hAnsi="宋体"/>
          <w:szCs w:val="24"/>
        </w:rPr>
      </w:pPr>
      <w:r w:rsidRPr="001B1942">
        <w:rPr>
          <w:rFonts w:ascii="宋体" w:hAnsi="宋体"/>
          <w:noProof/>
        </w:rPr>
        <w:lastRenderedPageBreak/>
        <w:drawing>
          <wp:inline distT="0" distB="0" distL="0" distR="0" wp14:anchorId="3EF66B2A" wp14:editId="0E7A0599">
            <wp:extent cx="5274310" cy="32531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3105"/>
                    </a:xfrm>
                    <a:prstGeom prst="rect">
                      <a:avLst/>
                    </a:prstGeom>
                  </pic:spPr>
                </pic:pic>
              </a:graphicData>
            </a:graphic>
          </wp:inline>
        </w:drawing>
      </w:r>
    </w:p>
    <w:p w14:paraId="63FF8A94" w14:textId="77777777" w:rsidR="00D658D6" w:rsidRPr="001B1942" w:rsidRDefault="00D658D6" w:rsidP="00923D62">
      <w:pPr>
        <w:ind w:firstLine="480"/>
        <w:rPr>
          <w:rFonts w:ascii="宋体" w:hAnsi="宋体"/>
          <w:szCs w:val="24"/>
        </w:rPr>
      </w:pPr>
      <w:r w:rsidRPr="001B1942">
        <w:rPr>
          <w:rFonts w:ascii="宋体" w:hAnsi="宋体" w:hint="eastAsia"/>
          <w:szCs w:val="24"/>
        </w:rPr>
        <w:t>最后一种方案是将所有的资产都纳入考虑范围</w:t>
      </w:r>
      <w:r w:rsidR="00FE0467" w:rsidRPr="001B1942">
        <w:rPr>
          <w:rFonts w:ascii="宋体" w:hAnsi="宋体" w:hint="eastAsia"/>
          <w:szCs w:val="24"/>
        </w:rPr>
        <w:t>，即再把南华农业品纳入资产组合</w:t>
      </w:r>
      <w:r w:rsidR="00135264">
        <w:rPr>
          <w:rFonts w:ascii="宋体" w:hAnsi="宋体" w:hint="eastAsia"/>
          <w:szCs w:val="24"/>
        </w:rPr>
        <w:t>，我们认为此时的资产组合代表了</w:t>
      </w:r>
      <w:r w:rsidR="0045208F">
        <w:rPr>
          <w:rFonts w:ascii="宋体" w:hAnsi="宋体" w:hint="eastAsia"/>
          <w:szCs w:val="24"/>
        </w:rPr>
        <w:t>股票、债券以及期货的组合</w:t>
      </w:r>
      <w:r w:rsidRPr="001B1942">
        <w:rPr>
          <w:rFonts w:ascii="宋体" w:hAnsi="宋体" w:hint="eastAsia"/>
          <w:szCs w:val="24"/>
        </w:rPr>
        <w:t>。</w:t>
      </w:r>
    </w:p>
    <w:p w14:paraId="5D7432BF" w14:textId="77777777" w:rsidR="00923D62" w:rsidRPr="001B1942" w:rsidRDefault="00C74729" w:rsidP="00923D62">
      <w:pPr>
        <w:ind w:firstLine="480"/>
        <w:rPr>
          <w:rFonts w:ascii="宋体" w:hAnsi="宋体"/>
          <w:szCs w:val="24"/>
        </w:rPr>
      </w:pPr>
      <w:r w:rsidRPr="001B1942">
        <w:rPr>
          <w:rFonts w:ascii="宋体" w:hAnsi="宋体"/>
          <w:noProof/>
        </w:rPr>
        <w:drawing>
          <wp:inline distT="0" distB="0" distL="0" distR="0" wp14:anchorId="7A35822A" wp14:editId="71CF7F50">
            <wp:extent cx="5155134" cy="318146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1011" cy="3185088"/>
                    </a:xfrm>
                    <a:prstGeom prst="rect">
                      <a:avLst/>
                    </a:prstGeom>
                  </pic:spPr>
                </pic:pic>
              </a:graphicData>
            </a:graphic>
          </wp:inline>
        </w:drawing>
      </w:r>
    </w:p>
    <w:p w14:paraId="4DCBA134" w14:textId="77777777" w:rsidR="00C74729" w:rsidRPr="001B1942" w:rsidRDefault="00C74729" w:rsidP="00923D62">
      <w:pPr>
        <w:ind w:firstLine="480"/>
        <w:rPr>
          <w:rFonts w:ascii="宋体" w:hAnsi="宋体"/>
          <w:szCs w:val="24"/>
        </w:rPr>
      </w:pPr>
    </w:p>
    <w:p w14:paraId="17F41D3D" w14:textId="77777777" w:rsidR="00C74729" w:rsidRPr="001B1942" w:rsidRDefault="008B02A2" w:rsidP="00923D62">
      <w:pPr>
        <w:ind w:firstLine="480"/>
        <w:rPr>
          <w:rFonts w:ascii="宋体" w:hAnsi="宋体"/>
          <w:szCs w:val="24"/>
        </w:rPr>
      </w:pPr>
      <w:r w:rsidRPr="001B1942">
        <w:rPr>
          <w:rFonts w:ascii="宋体" w:hAnsi="宋体" w:hint="eastAsia"/>
          <w:szCs w:val="24"/>
        </w:rPr>
        <w:t xml:space="preserve"> </w:t>
      </w:r>
      <w:r w:rsidRPr="001B1942">
        <w:rPr>
          <w:rFonts w:ascii="宋体" w:hAnsi="宋体"/>
          <w:szCs w:val="24"/>
        </w:rPr>
        <w:t xml:space="preserve"> </w:t>
      </w:r>
      <w:r w:rsidRPr="001B1942">
        <w:rPr>
          <w:rFonts w:ascii="宋体" w:hAnsi="宋体" w:hint="eastAsia"/>
          <w:szCs w:val="24"/>
        </w:rPr>
        <w:t>以下是四种资本配置方案</w:t>
      </w:r>
      <w:r w:rsidR="0045208F">
        <w:rPr>
          <w:rFonts w:ascii="宋体" w:hAnsi="宋体" w:hint="eastAsia"/>
          <w:szCs w:val="24"/>
        </w:rPr>
        <w:t>下得到的计算</w:t>
      </w:r>
      <w:r w:rsidR="00797C52" w:rsidRPr="001B1942">
        <w:rPr>
          <w:rFonts w:ascii="宋体" w:hAnsi="宋体" w:hint="eastAsia"/>
          <w:szCs w:val="24"/>
        </w:rPr>
        <w:t>结果。</w:t>
      </w:r>
    </w:p>
    <w:p w14:paraId="0B125C5E" w14:textId="77777777" w:rsidR="0045208F" w:rsidRDefault="00DC2BA8" w:rsidP="0045208F">
      <w:pPr>
        <w:keepNext/>
        <w:ind w:firstLine="480"/>
        <w:jc w:val="center"/>
      </w:pPr>
      <w:r w:rsidRPr="00DC2BA8">
        <w:rPr>
          <w:noProof/>
        </w:rPr>
        <w:lastRenderedPageBreak/>
        <w:drawing>
          <wp:inline distT="0" distB="0" distL="0" distR="0" wp14:anchorId="40541C38" wp14:editId="75CB696E">
            <wp:extent cx="5086350" cy="1657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1657350"/>
                    </a:xfrm>
                    <a:prstGeom prst="rect">
                      <a:avLst/>
                    </a:prstGeom>
                    <a:noFill/>
                    <a:ln>
                      <a:noFill/>
                    </a:ln>
                  </pic:spPr>
                </pic:pic>
              </a:graphicData>
            </a:graphic>
          </wp:inline>
        </w:drawing>
      </w:r>
    </w:p>
    <w:p w14:paraId="5A6E4642" w14:textId="6FC409C2" w:rsidR="00797C52" w:rsidRDefault="0045208F" w:rsidP="0045208F">
      <w:pPr>
        <w:pStyle w:val="a3"/>
        <w:ind w:firstLine="400"/>
        <w:jc w:val="center"/>
        <w:rPr>
          <w:rFonts w:ascii="宋体" w:eastAsia="宋体" w:hAnsi="宋体"/>
          <w:color w:val="FF0000"/>
        </w:rPr>
      </w:pPr>
      <w:r w:rsidRPr="0045208F">
        <w:rPr>
          <w:rFonts w:ascii="宋体" w:eastAsia="宋体" w:hAnsi="宋体"/>
          <w:color w:val="FF0000"/>
        </w:rPr>
        <w:t xml:space="preserve">表格 </w:t>
      </w:r>
      <w:r w:rsidRPr="0045208F">
        <w:rPr>
          <w:rFonts w:ascii="宋体" w:eastAsia="宋体" w:hAnsi="宋体"/>
          <w:color w:val="FF0000"/>
        </w:rPr>
        <w:fldChar w:fldCharType="begin"/>
      </w:r>
      <w:r w:rsidRPr="0045208F">
        <w:rPr>
          <w:rFonts w:ascii="宋体" w:eastAsia="宋体" w:hAnsi="宋体"/>
          <w:color w:val="FF0000"/>
        </w:rPr>
        <w:instrText xml:space="preserve"> SEQ 表格 \* ARABIC </w:instrText>
      </w:r>
      <w:r w:rsidRPr="0045208F">
        <w:rPr>
          <w:rFonts w:ascii="宋体" w:eastAsia="宋体" w:hAnsi="宋体"/>
          <w:color w:val="FF0000"/>
        </w:rPr>
        <w:fldChar w:fldCharType="separate"/>
      </w:r>
      <w:r w:rsidR="007E01BE">
        <w:rPr>
          <w:rFonts w:ascii="宋体" w:eastAsia="宋体" w:hAnsi="宋体"/>
          <w:noProof/>
          <w:color w:val="FF0000"/>
        </w:rPr>
        <w:t>5</w:t>
      </w:r>
      <w:r w:rsidRPr="0045208F">
        <w:rPr>
          <w:rFonts w:ascii="宋体" w:eastAsia="宋体" w:hAnsi="宋体"/>
          <w:color w:val="FF0000"/>
        </w:rPr>
        <w:fldChar w:fldCharType="end"/>
      </w:r>
      <w:r w:rsidRPr="0045208F">
        <w:rPr>
          <w:rFonts w:ascii="宋体" w:eastAsia="宋体" w:hAnsi="宋体" w:hint="eastAsia"/>
          <w:color w:val="FF0000"/>
        </w:rPr>
        <w:t>各方案得到的计算结果</w:t>
      </w:r>
    </w:p>
    <w:p w14:paraId="538A3016" w14:textId="77777777" w:rsidR="0045208F" w:rsidRPr="0045208F" w:rsidRDefault="0045208F" w:rsidP="0045208F">
      <w:pPr>
        <w:ind w:firstLine="480"/>
        <w:jc w:val="center"/>
      </w:pPr>
    </w:p>
    <w:p w14:paraId="77639B39" w14:textId="77777777" w:rsidR="0045208F" w:rsidRDefault="00797C52" w:rsidP="0045208F">
      <w:pPr>
        <w:pStyle w:val="a3"/>
        <w:keepNext/>
        <w:ind w:firstLine="400"/>
        <w:jc w:val="center"/>
      </w:pPr>
      <w:r w:rsidRPr="001B1942">
        <w:rPr>
          <w:rFonts w:ascii="宋体" w:eastAsia="宋体" w:hAnsi="宋体" w:hint="eastAsia"/>
          <w:noProof/>
        </w:rPr>
        <w:drawing>
          <wp:inline distT="0" distB="0" distL="0" distR="0" wp14:anchorId="1798A00B" wp14:editId="55407BDE">
            <wp:extent cx="4735277" cy="1129786"/>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904" cy="1131844"/>
                    </a:xfrm>
                    <a:prstGeom prst="rect">
                      <a:avLst/>
                    </a:prstGeom>
                    <a:noFill/>
                    <a:ln>
                      <a:noFill/>
                    </a:ln>
                  </pic:spPr>
                </pic:pic>
              </a:graphicData>
            </a:graphic>
          </wp:inline>
        </w:drawing>
      </w:r>
    </w:p>
    <w:p w14:paraId="4346D4BD" w14:textId="155ECF88" w:rsidR="0045208F" w:rsidRDefault="0045208F" w:rsidP="0045208F">
      <w:pPr>
        <w:pStyle w:val="a3"/>
        <w:ind w:firstLine="400"/>
        <w:jc w:val="center"/>
        <w:rPr>
          <w:rFonts w:ascii="宋体" w:eastAsia="宋体" w:hAnsi="宋体"/>
          <w:color w:val="FF0000"/>
        </w:rPr>
      </w:pPr>
      <w:r w:rsidRPr="0045208F">
        <w:rPr>
          <w:rFonts w:ascii="宋体" w:eastAsia="宋体" w:hAnsi="宋体"/>
          <w:color w:val="FF0000"/>
        </w:rPr>
        <w:t xml:space="preserve">表格 </w:t>
      </w:r>
      <w:r w:rsidRPr="0045208F">
        <w:rPr>
          <w:rFonts w:ascii="宋体" w:eastAsia="宋体" w:hAnsi="宋体"/>
          <w:color w:val="FF0000"/>
        </w:rPr>
        <w:fldChar w:fldCharType="begin"/>
      </w:r>
      <w:r w:rsidRPr="0045208F">
        <w:rPr>
          <w:rFonts w:ascii="宋体" w:eastAsia="宋体" w:hAnsi="宋体"/>
          <w:color w:val="FF0000"/>
        </w:rPr>
        <w:instrText xml:space="preserve"> SEQ 表格 \* ARABIC </w:instrText>
      </w:r>
      <w:r w:rsidRPr="0045208F">
        <w:rPr>
          <w:rFonts w:ascii="宋体" w:eastAsia="宋体" w:hAnsi="宋体"/>
          <w:color w:val="FF0000"/>
        </w:rPr>
        <w:fldChar w:fldCharType="separate"/>
      </w:r>
      <w:r w:rsidR="007E01BE">
        <w:rPr>
          <w:rFonts w:ascii="宋体" w:eastAsia="宋体" w:hAnsi="宋体"/>
          <w:noProof/>
          <w:color w:val="FF0000"/>
        </w:rPr>
        <w:t>6</w:t>
      </w:r>
      <w:r w:rsidRPr="0045208F">
        <w:rPr>
          <w:rFonts w:ascii="宋体" w:eastAsia="宋体" w:hAnsi="宋体"/>
          <w:color w:val="FF0000"/>
        </w:rPr>
        <w:fldChar w:fldCharType="end"/>
      </w:r>
      <w:r w:rsidRPr="001B1942">
        <w:rPr>
          <w:rFonts w:ascii="宋体" w:eastAsia="宋体" w:hAnsi="宋体" w:hint="eastAsia"/>
          <w:color w:val="FF0000"/>
        </w:rPr>
        <w:t>各方案下的权重</w:t>
      </w:r>
    </w:p>
    <w:p w14:paraId="0F5C3A65" w14:textId="77777777" w:rsidR="00097F53" w:rsidRPr="0045208F" w:rsidRDefault="0045208F" w:rsidP="00A04584">
      <w:pPr>
        <w:ind w:firstLine="480"/>
        <w:rPr>
          <w:rFonts w:ascii="宋体" w:hAnsi="宋体"/>
          <w:szCs w:val="24"/>
        </w:rPr>
      </w:pPr>
      <w:r w:rsidRPr="0045208F">
        <w:rPr>
          <w:rFonts w:ascii="宋体" w:hAnsi="宋体" w:hint="eastAsia"/>
          <w:szCs w:val="24"/>
        </w:rPr>
        <w:t>根据以上的图像以及计算结果，我们可以得出以下结论：</w:t>
      </w:r>
    </w:p>
    <w:p w14:paraId="6038DF19" w14:textId="77777777" w:rsidR="00515AD5" w:rsidRPr="0045208F" w:rsidRDefault="0044753F" w:rsidP="00F5190F">
      <w:pPr>
        <w:ind w:firstLine="480"/>
        <w:rPr>
          <w:rFonts w:ascii="宋体" w:hAnsi="宋体"/>
          <w:szCs w:val="24"/>
        </w:rPr>
      </w:pPr>
      <w:r w:rsidRPr="0045208F">
        <w:rPr>
          <w:rFonts w:ascii="宋体" w:hAnsi="宋体" w:hint="eastAsia"/>
          <w:szCs w:val="24"/>
        </w:rPr>
        <w:t>从四种资产的</w:t>
      </w:r>
      <w:r w:rsidR="00515AD5" w:rsidRPr="0045208F">
        <w:rPr>
          <w:rFonts w:ascii="宋体" w:hAnsi="宋体" w:hint="eastAsia"/>
          <w:szCs w:val="24"/>
        </w:rPr>
        <w:t>投资组合可行集的图像</w:t>
      </w:r>
      <w:r w:rsidRPr="0045208F">
        <w:rPr>
          <w:rFonts w:ascii="宋体" w:hAnsi="宋体" w:hint="eastAsia"/>
          <w:szCs w:val="24"/>
        </w:rPr>
        <w:t>来看，我们可以发现资产篮子里面的组合越多，</w:t>
      </w:r>
      <w:r w:rsidR="00515AD5" w:rsidRPr="0045208F">
        <w:rPr>
          <w:rFonts w:ascii="宋体" w:hAnsi="宋体" w:hint="eastAsia"/>
          <w:szCs w:val="24"/>
        </w:rPr>
        <w:t>有效</w:t>
      </w:r>
      <w:r w:rsidRPr="0045208F">
        <w:rPr>
          <w:rFonts w:ascii="宋体" w:hAnsi="宋体" w:hint="eastAsia"/>
          <w:szCs w:val="24"/>
        </w:rPr>
        <w:t>边界</w:t>
      </w:r>
      <w:r w:rsidR="00515AD5" w:rsidRPr="0045208F">
        <w:rPr>
          <w:rFonts w:ascii="宋体" w:hAnsi="宋体" w:hint="eastAsia"/>
          <w:szCs w:val="24"/>
        </w:rPr>
        <w:t>越</w:t>
      </w:r>
      <w:r w:rsidRPr="0045208F">
        <w:rPr>
          <w:rFonts w:ascii="宋体" w:hAnsi="宋体" w:hint="eastAsia"/>
          <w:szCs w:val="24"/>
        </w:rPr>
        <w:t>有</w:t>
      </w:r>
      <w:r w:rsidR="00515AD5" w:rsidRPr="0045208F">
        <w:rPr>
          <w:rFonts w:ascii="宋体" w:hAnsi="宋体" w:hint="eastAsia"/>
          <w:szCs w:val="24"/>
        </w:rPr>
        <w:t>向左</w:t>
      </w:r>
      <w:r w:rsidRPr="0045208F">
        <w:rPr>
          <w:rFonts w:ascii="宋体" w:hAnsi="宋体" w:hint="eastAsia"/>
          <w:szCs w:val="24"/>
        </w:rPr>
        <w:t>移动的趋势，这就说明了随着</w:t>
      </w:r>
      <w:r w:rsidR="0045208F" w:rsidRPr="0045208F">
        <w:rPr>
          <w:rFonts w:ascii="宋体" w:hAnsi="宋体" w:hint="eastAsia"/>
          <w:szCs w:val="24"/>
        </w:rPr>
        <w:t>资产</w:t>
      </w:r>
      <w:r w:rsidRPr="0045208F">
        <w:rPr>
          <w:rFonts w:ascii="宋体" w:hAnsi="宋体" w:hint="eastAsia"/>
          <w:szCs w:val="24"/>
        </w:rPr>
        <w:t>数量上升，</w:t>
      </w:r>
      <w:r w:rsidR="00515AD5" w:rsidRPr="0045208F">
        <w:rPr>
          <w:rFonts w:ascii="宋体" w:hAnsi="宋体" w:hint="eastAsia"/>
          <w:szCs w:val="24"/>
        </w:rPr>
        <w:t>投资</w:t>
      </w:r>
      <w:r w:rsidRPr="0045208F">
        <w:rPr>
          <w:rFonts w:ascii="宋体" w:hAnsi="宋体" w:hint="eastAsia"/>
          <w:szCs w:val="24"/>
        </w:rPr>
        <w:t>组合</w:t>
      </w:r>
      <w:r w:rsidR="00515AD5" w:rsidRPr="0045208F">
        <w:rPr>
          <w:rFonts w:ascii="宋体" w:hAnsi="宋体" w:hint="eastAsia"/>
          <w:szCs w:val="24"/>
        </w:rPr>
        <w:t>的</w:t>
      </w:r>
      <w:r w:rsidRPr="0045208F">
        <w:rPr>
          <w:rFonts w:ascii="宋体" w:hAnsi="宋体" w:hint="eastAsia"/>
          <w:szCs w:val="24"/>
        </w:rPr>
        <w:t>风险</w:t>
      </w:r>
      <w:r w:rsidR="00515AD5" w:rsidRPr="0045208F">
        <w:rPr>
          <w:rFonts w:ascii="宋体" w:hAnsi="宋体" w:hint="eastAsia"/>
          <w:szCs w:val="24"/>
        </w:rPr>
        <w:t>被</w:t>
      </w:r>
      <w:r w:rsidRPr="0045208F">
        <w:rPr>
          <w:rFonts w:ascii="宋体" w:hAnsi="宋体" w:hint="eastAsia"/>
          <w:szCs w:val="24"/>
        </w:rPr>
        <w:t>分散化</w:t>
      </w:r>
      <w:r w:rsidR="00515AD5" w:rsidRPr="0045208F">
        <w:rPr>
          <w:rFonts w:ascii="宋体" w:hAnsi="宋体" w:hint="eastAsia"/>
          <w:szCs w:val="24"/>
        </w:rPr>
        <w:t>，导致投资组合标准</w:t>
      </w:r>
      <w:proofErr w:type="gramStart"/>
      <w:r w:rsidR="00515AD5" w:rsidRPr="0045208F">
        <w:rPr>
          <w:rFonts w:ascii="宋体" w:hAnsi="宋体" w:hint="eastAsia"/>
          <w:szCs w:val="24"/>
        </w:rPr>
        <w:t>差相应</w:t>
      </w:r>
      <w:proofErr w:type="gramEnd"/>
      <w:r w:rsidR="00515AD5" w:rsidRPr="0045208F">
        <w:rPr>
          <w:rFonts w:ascii="宋体" w:hAnsi="宋体" w:hint="eastAsia"/>
          <w:szCs w:val="24"/>
        </w:rPr>
        <w:t>下降。</w:t>
      </w:r>
    </w:p>
    <w:p w14:paraId="00D3BAF2" w14:textId="77777777" w:rsidR="0044753F" w:rsidRPr="0045208F" w:rsidRDefault="0044753F" w:rsidP="00F5190F">
      <w:pPr>
        <w:ind w:firstLine="480"/>
        <w:rPr>
          <w:rFonts w:ascii="宋体" w:hAnsi="宋体"/>
          <w:szCs w:val="24"/>
        </w:rPr>
      </w:pPr>
      <w:r w:rsidRPr="0045208F">
        <w:rPr>
          <w:rFonts w:ascii="宋体" w:hAnsi="宋体" w:hint="eastAsia"/>
          <w:szCs w:val="24"/>
        </w:rPr>
        <w:t>而在协方差矩阵</w:t>
      </w:r>
      <w:r w:rsidR="00515AD5" w:rsidRPr="0045208F">
        <w:rPr>
          <w:rFonts w:ascii="宋体" w:hAnsi="宋体" w:hint="eastAsia"/>
          <w:szCs w:val="24"/>
        </w:rPr>
        <w:t>和相关系数矩阵</w:t>
      </w:r>
      <w:r w:rsidRPr="0045208F">
        <w:rPr>
          <w:rFonts w:ascii="宋体" w:hAnsi="宋体" w:hint="eastAsia"/>
          <w:szCs w:val="24"/>
        </w:rPr>
        <w:t>中，我们发现不同资产之间的平均协方差几乎为0，即所有的风险都是这种资产所特有的。因此，当资产间的收益不相关时，分散化降低组合风险的力量是很大的</w:t>
      </w:r>
      <w:r w:rsidR="00515AD5" w:rsidRPr="0045208F">
        <w:rPr>
          <w:rFonts w:ascii="宋体" w:hAnsi="宋体" w:hint="eastAsia"/>
          <w:szCs w:val="24"/>
        </w:rPr>
        <w:t>，但不可否认的是投资组合之间的相关性限制了分散化的空间。</w:t>
      </w:r>
    </w:p>
    <w:p w14:paraId="55B788DD" w14:textId="77777777" w:rsidR="00A04584" w:rsidRDefault="00F5190F" w:rsidP="00A04584">
      <w:pPr>
        <w:ind w:firstLine="480"/>
        <w:rPr>
          <w:rFonts w:ascii="宋体" w:hAnsi="宋体"/>
          <w:szCs w:val="24"/>
        </w:rPr>
      </w:pPr>
      <w:r w:rsidRPr="0045208F">
        <w:rPr>
          <w:rFonts w:ascii="宋体" w:hAnsi="宋体" w:hint="eastAsia"/>
          <w:szCs w:val="24"/>
        </w:rPr>
        <w:t>随着新资产的加入，我们可以看到从方案一到方案四，我们控制了风险，但是相应的代价是减小了期望的收益值。</w:t>
      </w:r>
      <w:r w:rsidR="000B033F">
        <w:rPr>
          <w:rFonts w:ascii="宋体" w:hAnsi="宋体" w:hint="eastAsia"/>
          <w:szCs w:val="24"/>
        </w:rPr>
        <w:t>在先前的研究中，我们考虑了收益率为负的南华农产品，从结果中可以看出</w:t>
      </w:r>
      <w:r w:rsidR="00EB6D42">
        <w:rPr>
          <w:rFonts w:ascii="宋体" w:hAnsi="宋体" w:hint="eastAsia"/>
          <w:szCs w:val="24"/>
        </w:rPr>
        <w:t>确实分散了风险，但是与此同时，收益率也明显下降了。</w:t>
      </w:r>
    </w:p>
    <w:p w14:paraId="7D0A73E7" w14:textId="77777777" w:rsidR="000B033F" w:rsidRPr="00A04584" w:rsidRDefault="000B033F" w:rsidP="00A04584">
      <w:pPr>
        <w:spacing w:beforeLines="50" w:before="156" w:afterLines="50" w:after="156"/>
        <w:ind w:firstLineChars="0" w:firstLine="0"/>
        <w:rPr>
          <w:rFonts w:ascii="宋体" w:hAnsi="宋体"/>
          <w:b/>
          <w:sz w:val="28"/>
          <w:szCs w:val="24"/>
        </w:rPr>
      </w:pPr>
      <w:r w:rsidRPr="00A04584">
        <w:rPr>
          <w:rFonts w:hint="eastAsia"/>
          <w:b/>
          <w:sz w:val="28"/>
        </w:rPr>
        <w:t>四、其他模型</w:t>
      </w:r>
      <w:r w:rsidR="00E40F2F" w:rsidRPr="00A04584">
        <w:rPr>
          <w:rFonts w:hint="eastAsia"/>
          <w:b/>
          <w:sz w:val="28"/>
        </w:rPr>
        <w:t>补充</w:t>
      </w:r>
    </w:p>
    <w:p w14:paraId="150D669F" w14:textId="77777777" w:rsidR="00E40F2F" w:rsidRPr="00E40F2F" w:rsidRDefault="00E40F2F" w:rsidP="00F5190F">
      <w:pPr>
        <w:ind w:firstLine="482"/>
        <w:rPr>
          <w:rFonts w:ascii="宋体" w:hAnsi="宋体"/>
          <w:b/>
          <w:szCs w:val="24"/>
        </w:rPr>
      </w:pPr>
      <w:r w:rsidRPr="00E40F2F">
        <w:rPr>
          <w:rFonts w:ascii="宋体" w:hAnsi="宋体" w:hint="eastAsia"/>
          <w:b/>
          <w:szCs w:val="24"/>
        </w:rPr>
        <w:t>1、利用</w:t>
      </w:r>
      <w:proofErr w:type="gramStart"/>
      <w:r w:rsidRPr="00E40F2F">
        <w:rPr>
          <w:rFonts w:ascii="宋体" w:hAnsi="宋体" w:hint="eastAsia"/>
          <w:b/>
          <w:szCs w:val="24"/>
        </w:rPr>
        <w:t>单指数</w:t>
      </w:r>
      <w:proofErr w:type="gramEnd"/>
      <w:r w:rsidRPr="00E40F2F">
        <w:rPr>
          <w:rFonts w:ascii="宋体" w:hAnsi="宋体" w:hint="eastAsia"/>
          <w:b/>
          <w:szCs w:val="24"/>
        </w:rPr>
        <w:t>模型分析</w:t>
      </w:r>
    </w:p>
    <w:p w14:paraId="3E26A56C" w14:textId="77777777" w:rsidR="00515AD5" w:rsidRPr="0045208F" w:rsidRDefault="00515AD5" w:rsidP="00F5190F">
      <w:pPr>
        <w:ind w:firstLine="480"/>
        <w:rPr>
          <w:rFonts w:ascii="宋体" w:hAnsi="宋体"/>
          <w:szCs w:val="24"/>
        </w:rPr>
      </w:pPr>
      <w:r w:rsidRPr="0045208F">
        <w:rPr>
          <w:rFonts w:ascii="宋体" w:hAnsi="宋体" w:hint="eastAsia"/>
          <w:szCs w:val="24"/>
        </w:rPr>
        <w:t>在第一问的研究过程中，我们发现沪深3</w:t>
      </w:r>
      <w:r w:rsidRPr="0045208F">
        <w:rPr>
          <w:rFonts w:ascii="宋体" w:hAnsi="宋体"/>
          <w:szCs w:val="24"/>
        </w:rPr>
        <w:t>00</w:t>
      </w:r>
      <w:r w:rsidRPr="0045208F">
        <w:rPr>
          <w:rFonts w:ascii="宋体" w:hAnsi="宋体" w:hint="eastAsia"/>
          <w:szCs w:val="24"/>
        </w:rPr>
        <w:t>指数和中证5</w:t>
      </w:r>
      <w:r w:rsidRPr="0045208F">
        <w:rPr>
          <w:rFonts w:ascii="宋体" w:hAnsi="宋体"/>
          <w:szCs w:val="24"/>
        </w:rPr>
        <w:t>00</w:t>
      </w:r>
      <w:r w:rsidRPr="0045208F">
        <w:rPr>
          <w:rFonts w:ascii="宋体" w:hAnsi="宋体" w:hint="eastAsia"/>
          <w:szCs w:val="24"/>
        </w:rPr>
        <w:t>指数可能存在一定的相关性，为了验证这种猜想并检验相关关系的显著性，我们</w:t>
      </w:r>
      <w:r w:rsidR="00097F53" w:rsidRPr="0045208F">
        <w:rPr>
          <w:rFonts w:ascii="宋体" w:hAnsi="宋体" w:hint="eastAsia"/>
          <w:szCs w:val="24"/>
        </w:rPr>
        <w:t>结合</w:t>
      </w:r>
      <w:proofErr w:type="gramStart"/>
      <w:r w:rsidR="00097F53" w:rsidRPr="0045208F">
        <w:rPr>
          <w:rFonts w:ascii="宋体" w:hAnsi="宋体" w:hint="eastAsia"/>
          <w:szCs w:val="24"/>
        </w:rPr>
        <w:t>单指数</w:t>
      </w:r>
      <w:proofErr w:type="gramEnd"/>
      <w:r w:rsidR="00097F53" w:rsidRPr="0045208F">
        <w:rPr>
          <w:rFonts w:ascii="宋体" w:hAnsi="宋体" w:hint="eastAsia"/>
          <w:szCs w:val="24"/>
        </w:rPr>
        <w:t>模型</w:t>
      </w:r>
      <w:r w:rsidRPr="0045208F">
        <w:rPr>
          <w:rFonts w:ascii="宋体" w:hAnsi="宋体" w:hint="eastAsia"/>
          <w:szCs w:val="24"/>
        </w:rPr>
        <w:t>对其进行回归分析。</w:t>
      </w:r>
      <w:r w:rsidR="00097F53" w:rsidRPr="0045208F">
        <w:rPr>
          <w:rFonts w:ascii="宋体" w:hAnsi="宋体" w:hint="eastAsia"/>
          <w:szCs w:val="24"/>
        </w:rPr>
        <w:t>S</w:t>
      </w:r>
      <w:r w:rsidR="00097F53" w:rsidRPr="0045208F">
        <w:rPr>
          <w:rFonts w:ascii="宋体" w:hAnsi="宋体"/>
          <w:szCs w:val="24"/>
        </w:rPr>
        <w:t>TATA</w:t>
      </w:r>
      <w:r w:rsidR="00097F53" w:rsidRPr="0045208F">
        <w:rPr>
          <w:rFonts w:ascii="宋体" w:hAnsi="宋体" w:hint="eastAsia"/>
          <w:szCs w:val="24"/>
        </w:rPr>
        <w:t>分析结果如下：</w:t>
      </w:r>
    </w:p>
    <w:p w14:paraId="6BA4FAE5" w14:textId="77777777" w:rsidR="00515AD5" w:rsidRPr="0045208F" w:rsidRDefault="00515AD5" w:rsidP="00F5190F">
      <w:pPr>
        <w:ind w:firstLine="480"/>
        <w:rPr>
          <w:rFonts w:ascii="宋体" w:hAnsi="宋体"/>
          <w:szCs w:val="24"/>
        </w:rPr>
      </w:pPr>
    </w:p>
    <w:p w14:paraId="333A1B27" w14:textId="77777777" w:rsidR="00DB61F8" w:rsidRPr="0045208F" w:rsidRDefault="00DB61F8" w:rsidP="00F5190F">
      <w:pPr>
        <w:ind w:firstLine="480"/>
        <w:rPr>
          <w:rFonts w:ascii="宋体" w:hAnsi="宋体"/>
          <w:szCs w:val="24"/>
        </w:rPr>
      </w:pPr>
      <w:r w:rsidRPr="0045208F">
        <w:rPr>
          <w:rFonts w:ascii="宋体" w:hAnsi="宋体"/>
          <w:noProof/>
          <w:szCs w:val="24"/>
        </w:rPr>
        <w:lastRenderedPageBreak/>
        <w:drawing>
          <wp:inline distT="0" distB="0" distL="0" distR="0" wp14:anchorId="25DCE47E" wp14:editId="26367E61">
            <wp:extent cx="4792985" cy="195216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4646" cy="1956912"/>
                    </a:xfrm>
                    <a:prstGeom prst="rect">
                      <a:avLst/>
                    </a:prstGeom>
                    <a:solidFill>
                      <a:schemeClr val="tx2">
                        <a:lumMod val="20000"/>
                        <a:lumOff val="80000"/>
                      </a:schemeClr>
                    </a:solidFill>
                  </pic:spPr>
                </pic:pic>
              </a:graphicData>
            </a:graphic>
          </wp:inline>
        </w:drawing>
      </w:r>
    </w:p>
    <w:p w14:paraId="573079AA" w14:textId="77777777" w:rsidR="00515AD5" w:rsidRPr="0045208F" w:rsidRDefault="00515AD5" w:rsidP="00F5190F">
      <w:pPr>
        <w:ind w:firstLine="480"/>
        <w:rPr>
          <w:rFonts w:ascii="宋体" w:hAnsi="宋体"/>
          <w:szCs w:val="24"/>
        </w:rPr>
      </w:pPr>
    </w:p>
    <w:p w14:paraId="79B84812" w14:textId="77777777" w:rsidR="00DB61F8" w:rsidRPr="0045208F" w:rsidRDefault="00DB61F8" w:rsidP="00E40F2F">
      <w:pPr>
        <w:ind w:leftChars="200" w:left="480" w:firstLine="480"/>
        <w:jc w:val="left"/>
        <w:rPr>
          <w:rFonts w:ascii="宋体" w:hAnsi="宋体"/>
          <w:szCs w:val="24"/>
        </w:rPr>
      </w:pPr>
      <w:r w:rsidRPr="0045208F">
        <w:rPr>
          <w:rFonts w:ascii="宋体" w:hAnsi="宋体" w:hint="eastAsia"/>
          <w:szCs w:val="24"/>
        </w:rPr>
        <w:t>可</w:t>
      </w:r>
      <w:proofErr w:type="gramStart"/>
      <w:r w:rsidRPr="0045208F">
        <w:rPr>
          <w:rFonts w:ascii="宋体" w:hAnsi="宋体" w:hint="eastAsia"/>
          <w:szCs w:val="24"/>
        </w:rPr>
        <w:t>得中证</w:t>
      </w:r>
      <w:proofErr w:type="gramEnd"/>
      <w:r w:rsidRPr="0045208F">
        <w:rPr>
          <w:rFonts w:ascii="宋体" w:hAnsi="宋体" w:hint="eastAsia"/>
          <w:szCs w:val="24"/>
        </w:rPr>
        <w:t>5</w:t>
      </w:r>
      <w:r w:rsidRPr="0045208F">
        <w:rPr>
          <w:rFonts w:ascii="宋体" w:hAnsi="宋体"/>
          <w:szCs w:val="24"/>
        </w:rPr>
        <w:t>00</w:t>
      </w:r>
      <w:r w:rsidRPr="0045208F">
        <w:rPr>
          <w:rFonts w:ascii="宋体" w:hAnsi="宋体" w:hint="eastAsia"/>
          <w:szCs w:val="24"/>
        </w:rPr>
        <w:t>指数预期收益率和</w:t>
      </w:r>
      <w:r w:rsidR="00097F53" w:rsidRPr="0045208F">
        <w:rPr>
          <w:rFonts w:ascii="宋体" w:hAnsi="宋体" w:hint="eastAsia"/>
          <w:szCs w:val="24"/>
        </w:rPr>
        <w:t>沪深指数收益率的回归方程：</w:t>
      </w:r>
      <w:r w:rsidR="00E40F2F">
        <w:rPr>
          <w:rFonts w:ascii="宋体" w:hAnsi="宋体" w:hint="eastAsia"/>
          <w:szCs w:val="24"/>
        </w:rPr>
        <w:t xml:space="preserve"> </w:t>
      </w:r>
      <w:r w:rsidR="00097F53" w:rsidRPr="0045208F">
        <w:rPr>
          <w:rFonts w:ascii="宋体" w:hAnsi="宋体"/>
          <w:szCs w:val="24"/>
        </w:rPr>
        <w:object w:dxaOrig="3860" w:dyaOrig="320" w14:anchorId="139B2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17pt" o:ole="">
            <v:imagedata r:id="rId19" o:title=""/>
          </v:shape>
          <o:OLEObject Type="Embed" ProgID="Equation.DSMT4" ShapeID="_x0000_i1025" DrawAspect="Content" ObjectID="_1629271990" r:id="rId20"/>
        </w:object>
      </w:r>
    </w:p>
    <w:p w14:paraId="2DB1C829" w14:textId="77777777" w:rsidR="001B1942" w:rsidRPr="0045208F" w:rsidRDefault="00097F53" w:rsidP="001B1942">
      <w:pPr>
        <w:ind w:firstLine="480"/>
        <w:jc w:val="left"/>
        <w:rPr>
          <w:rFonts w:ascii="宋体" w:hAnsi="宋体"/>
          <w:szCs w:val="24"/>
        </w:rPr>
      </w:pPr>
      <w:r w:rsidRPr="0045208F">
        <w:rPr>
          <w:rFonts w:ascii="宋体" w:hAnsi="宋体" w:hint="eastAsia"/>
          <w:szCs w:val="24"/>
        </w:rPr>
        <w:t>系数0</w:t>
      </w:r>
      <w:r w:rsidRPr="0045208F">
        <w:rPr>
          <w:rFonts w:ascii="宋体" w:hAnsi="宋体"/>
          <w:szCs w:val="24"/>
        </w:rPr>
        <w:t>.74872</w:t>
      </w:r>
      <w:r w:rsidRPr="0045208F">
        <w:rPr>
          <w:rFonts w:ascii="宋体" w:hAnsi="宋体" w:hint="eastAsia"/>
          <w:szCs w:val="24"/>
        </w:rPr>
        <w:t>是中证5</w:t>
      </w:r>
      <w:r w:rsidRPr="0045208F">
        <w:rPr>
          <w:rFonts w:ascii="宋体" w:hAnsi="宋体"/>
          <w:szCs w:val="24"/>
        </w:rPr>
        <w:t>00</w:t>
      </w:r>
      <w:r w:rsidRPr="0045208F">
        <w:rPr>
          <w:rFonts w:ascii="宋体" w:hAnsi="宋体" w:hint="eastAsia"/>
          <w:szCs w:val="24"/>
        </w:rPr>
        <w:t>指数对沪深3</w:t>
      </w:r>
      <w:r w:rsidRPr="0045208F">
        <w:rPr>
          <w:rFonts w:ascii="宋体" w:hAnsi="宋体"/>
          <w:szCs w:val="24"/>
        </w:rPr>
        <w:t>00</w:t>
      </w:r>
      <w:r w:rsidRPr="0045208F">
        <w:rPr>
          <w:rFonts w:ascii="宋体" w:hAnsi="宋体" w:hint="eastAsia"/>
          <w:szCs w:val="24"/>
        </w:rPr>
        <w:t>指数的敏感度，</w:t>
      </w:r>
      <w:r w:rsidRPr="0045208F">
        <w:rPr>
          <w:rFonts w:ascii="宋体" w:hAnsi="宋体"/>
          <w:szCs w:val="24"/>
        </w:rPr>
        <w:t>t-value=11.15</w:t>
      </w:r>
      <w:r w:rsidRPr="0045208F">
        <w:rPr>
          <w:rFonts w:ascii="宋体" w:hAnsi="宋体" w:hint="eastAsia"/>
          <w:szCs w:val="24"/>
        </w:rPr>
        <w:t>，p值为0，这个回归系数是显著的。由于沪深3</w:t>
      </w:r>
      <w:r w:rsidRPr="0045208F">
        <w:rPr>
          <w:rFonts w:ascii="宋体" w:hAnsi="宋体"/>
          <w:szCs w:val="24"/>
        </w:rPr>
        <w:t>00</w:t>
      </w:r>
      <w:r w:rsidRPr="0045208F">
        <w:rPr>
          <w:rFonts w:ascii="宋体" w:hAnsi="宋体" w:hint="eastAsia"/>
          <w:szCs w:val="24"/>
        </w:rPr>
        <w:t>指数很好地反映了市场风险（宏观风险），我们可以从中预测在特定宏观经济系统风险情况下小盘股的收益率变化情况。回归系数0</w:t>
      </w:r>
      <w:r w:rsidRPr="0045208F">
        <w:rPr>
          <w:rFonts w:ascii="宋体" w:hAnsi="宋体"/>
          <w:szCs w:val="24"/>
        </w:rPr>
        <w:t>.74872</w:t>
      </w:r>
      <w:r w:rsidRPr="0045208F">
        <w:rPr>
          <w:rFonts w:ascii="宋体" w:hAnsi="宋体" w:hint="eastAsia"/>
          <w:szCs w:val="24"/>
        </w:rPr>
        <w:t>，说明两个变量的相关性很强，这也</w:t>
      </w:r>
      <w:r w:rsidR="001B1942" w:rsidRPr="0045208F">
        <w:rPr>
          <w:rFonts w:ascii="宋体" w:hAnsi="宋体" w:hint="eastAsia"/>
          <w:szCs w:val="24"/>
        </w:rPr>
        <w:t>解释了</w:t>
      </w:r>
      <w:r w:rsidRPr="0045208F">
        <w:rPr>
          <w:rFonts w:ascii="宋体" w:hAnsi="宋体" w:hint="eastAsia"/>
          <w:szCs w:val="24"/>
        </w:rPr>
        <w:t>在2</w:t>
      </w:r>
      <w:r w:rsidRPr="0045208F">
        <w:rPr>
          <w:rFonts w:ascii="宋体" w:hAnsi="宋体"/>
          <w:szCs w:val="24"/>
        </w:rPr>
        <w:t>018</w:t>
      </w:r>
      <w:r w:rsidRPr="0045208F">
        <w:rPr>
          <w:rFonts w:ascii="宋体" w:hAnsi="宋体" w:hint="eastAsia"/>
          <w:szCs w:val="24"/>
        </w:rPr>
        <w:t>年大盘普遍走低的背景下，小盘股</w:t>
      </w:r>
      <w:r w:rsidR="001B1942" w:rsidRPr="0045208F">
        <w:rPr>
          <w:rFonts w:ascii="宋体" w:hAnsi="宋体" w:hint="eastAsia"/>
          <w:szCs w:val="24"/>
        </w:rPr>
        <w:t>的总体收益情况也偏低的情况。</w:t>
      </w:r>
    </w:p>
    <w:p w14:paraId="18589CD9" w14:textId="77777777" w:rsidR="00DB61F8" w:rsidRDefault="00097F53" w:rsidP="001B1942">
      <w:pPr>
        <w:ind w:firstLine="480"/>
        <w:jc w:val="left"/>
        <w:rPr>
          <w:rFonts w:ascii="宋体" w:hAnsi="宋体"/>
          <w:szCs w:val="24"/>
        </w:rPr>
      </w:pPr>
      <w:r w:rsidRPr="0045208F">
        <w:rPr>
          <w:rFonts w:ascii="宋体" w:hAnsi="宋体" w:hint="eastAsia"/>
          <w:szCs w:val="24"/>
        </w:rPr>
        <w:t>同时，截距变量为-</w:t>
      </w:r>
      <w:r w:rsidRPr="0045208F">
        <w:rPr>
          <w:rFonts w:ascii="宋体" w:hAnsi="宋体"/>
          <w:szCs w:val="24"/>
        </w:rPr>
        <w:t>0.000128</w:t>
      </w:r>
      <w:r w:rsidRPr="0045208F">
        <w:rPr>
          <w:rFonts w:ascii="宋体" w:hAnsi="宋体" w:hint="eastAsia"/>
          <w:szCs w:val="24"/>
        </w:rPr>
        <w:t>，代表的经济含义是在沪深3</w:t>
      </w:r>
      <w:r w:rsidRPr="0045208F">
        <w:rPr>
          <w:rFonts w:ascii="宋体" w:hAnsi="宋体"/>
          <w:szCs w:val="24"/>
        </w:rPr>
        <w:t>00</w:t>
      </w:r>
      <w:r w:rsidRPr="0045208F">
        <w:rPr>
          <w:rFonts w:ascii="宋体" w:hAnsi="宋体" w:hint="eastAsia"/>
          <w:szCs w:val="24"/>
        </w:rPr>
        <w:t>指数期望收益率为0的极端情况下，中证指数收益率的期望值为负，但是由于p值为0</w:t>
      </w:r>
      <w:r w:rsidRPr="0045208F">
        <w:rPr>
          <w:rFonts w:ascii="宋体" w:hAnsi="宋体"/>
          <w:szCs w:val="24"/>
        </w:rPr>
        <w:t>.995</w:t>
      </w:r>
      <w:r w:rsidRPr="0045208F">
        <w:rPr>
          <w:rFonts w:ascii="宋体" w:hAnsi="宋体" w:hint="eastAsia"/>
          <w:szCs w:val="24"/>
        </w:rPr>
        <w:t>，远大于0</w:t>
      </w:r>
      <w:r w:rsidRPr="0045208F">
        <w:rPr>
          <w:rFonts w:ascii="宋体" w:hAnsi="宋体"/>
          <w:szCs w:val="24"/>
        </w:rPr>
        <w:t>.05</w:t>
      </w:r>
      <w:r w:rsidRPr="0045208F">
        <w:rPr>
          <w:rFonts w:ascii="宋体" w:hAnsi="宋体" w:hint="eastAsia"/>
          <w:szCs w:val="24"/>
        </w:rPr>
        <w:t>，这个估计量是不显著的，说明要得出更加精确的回归方程，我们需要更多的样本量即更长的时间跨度来选取数据。</w:t>
      </w:r>
    </w:p>
    <w:p w14:paraId="1A85DD0B" w14:textId="77777777" w:rsidR="00E40F2F" w:rsidRDefault="00E40F2F" w:rsidP="001B1942">
      <w:pPr>
        <w:ind w:firstLine="482"/>
        <w:jc w:val="left"/>
        <w:rPr>
          <w:rFonts w:ascii="宋体" w:hAnsi="宋体"/>
          <w:b/>
          <w:szCs w:val="24"/>
        </w:rPr>
      </w:pPr>
      <w:r w:rsidRPr="00E40F2F">
        <w:rPr>
          <w:rFonts w:ascii="宋体" w:hAnsi="宋体" w:hint="eastAsia"/>
          <w:b/>
          <w:szCs w:val="24"/>
        </w:rPr>
        <w:t>2、利用风险平价模型分析</w:t>
      </w:r>
    </w:p>
    <w:p w14:paraId="1C7DA8EB" w14:textId="77777777" w:rsidR="00E40F2F" w:rsidRDefault="00E40F2F" w:rsidP="001B1942">
      <w:pPr>
        <w:ind w:firstLine="480"/>
        <w:jc w:val="left"/>
        <w:rPr>
          <w:rFonts w:ascii="宋体" w:hAnsi="宋体"/>
          <w:szCs w:val="24"/>
        </w:rPr>
      </w:pPr>
      <w:r>
        <w:rPr>
          <w:rFonts w:ascii="宋体" w:hAnsi="宋体" w:hint="eastAsia"/>
          <w:szCs w:val="24"/>
        </w:rPr>
        <w:t>（1）风险平价模型</w:t>
      </w:r>
      <w:r w:rsidR="00E34AE3">
        <w:rPr>
          <w:rFonts w:ascii="宋体" w:hAnsi="宋体" w:hint="eastAsia"/>
          <w:szCs w:val="24"/>
        </w:rPr>
        <w:t>的</w:t>
      </w:r>
      <w:r>
        <w:rPr>
          <w:rFonts w:ascii="宋体" w:hAnsi="宋体" w:hint="eastAsia"/>
          <w:szCs w:val="24"/>
        </w:rPr>
        <w:t>优点</w:t>
      </w:r>
    </w:p>
    <w:p w14:paraId="1BC60282" w14:textId="77777777" w:rsidR="00E34AE3" w:rsidRDefault="00E34AE3" w:rsidP="00E34AE3">
      <w:pPr>
        <w:ind w:firstLine="480"/>
        <w:jc w:val="left"/>
        <w:rPr>
          <w:rFonts w:ascii="宋体" w:hAnsi="宋体"/>
          <w:szCs w:val="24"/>
        </w:rPr>
      </w:pPr>
      <w:r>
        <w:rPr>
          <w:rFonts w:ascii="宋体" w:hAnsi="宋体" w:hint="eastAsia"/>
          <w:szCs w:val="24"/>
        </w:rPr>
        <w:t>①</w:t>
      </w:r>
      <w:r w:rsidR="00E40F2F">
        <w:rPr>
          <w:rFonts w:ascii="宋体" w:hAnsi="宋体" w:hint="eastAsia"/>
          <w:szCs w:val="24"/>
        </w:rPr>
        <w:t>马科维茨提出上的均值方差模型对资产收益预期依赖性较强，在现实生活中不够稳健，而以风险平价模型为代表的其他模型对预期收益率的</w:t>
      </w:r>
      <w:r>
        <w:rPr>
          <w:rFonts w:ascii="宋体" w:hAnsi="宋体" w:hint="eastAsia"/>
          <w:szCs w:val="24"/>
        </w:rPr>
        <w:t>敏感性较低，更好地适应市场变化。</w:t>
      </w:r>
    </w:p>
    <w:p w14:paraId="165B057A" w14:textId="77777777" w:rsidR="00E34AE3" w:rsidRDefault="00E34AE3" w:rsidP="00E34AE3">
      <w:pPr>
        <w:ind w:firstLine="480"/>
        <w:jc w:val="left"/>
        <w:rPr>
          <w:rFonts w:ascii="宋体" w:hAnsi="宋体"/>
          <w:szCs w:val="24"/>
        </w:rPr>
      </w:pPr>
      <w:r>
        <w:rPr>
          <w:rFonts w:ascii="宋体" w:hAnsi="宋体" w:hint="eastAsia"/>
          <w:szCs w:val="24"/>
        </w:rPr>
        <w:t>②风险平价模型能平衡各个资产的风险贡献度来降低组合整体风险，并通过杠杆获取较低风险下的高回报，能取得较好的夏普比率，在资产分散程度上优于最小方差组合。</w:t>
      </w:r>
    </w:p>
    <w:p w14:paraId="3CEDE167" w14:textId="77777777" w:rsidR="00E34AE3" w:rsidRDefault="00E34AE3" w:rsidP="00E34AE3">
      <w:pPr>
        <w:ind w:firstLine="480"/>
        <w:jc w:val="left"/>
        <w:rPr>
          <w:rFonts w:ascii="宋体" w:hAnsi="宋体"/>
          <w:szCs w:val="24"/>
        </w:rPr>
      </w:pPr>
      <w:r>
        <w:rPr>
          <w:rFonts w:ascii="宋体" w:hAnsi="宋体" w:hint="eastAsia"/>
          <w:szCs w:val="24"/>
        </w:rPr>
        <w:t>（2）不加杠杆的风险平价模型</w:t>
      </w:r>
      <w:proofErr w:type="gramStart"/>
      <w:r>
        <w:rPr>
          <w:rFonts w:ascii="宋体" w:hAnsi="宋体"/>
          <w:szCs w:val="24"/>
        </w:rPr>
        <w:t>—</w:t>
      </w:r>
      <w:r>
        <w:rPr>
          <w:rFonts w:ascii="宋体" w:hAnsi="宋体" w:hint="eastAsia"/>
          <w:szCs w:val="24"/>
        </w:rPr>
        <w:t>股票</w:t>
      </w:r>
      <w:proofErr w:type="gramEnd"/>
      <w:r>
        <w:rPr>
          <w:rFonts w:ascii="宋体" w:hAnsi="宋体" w:hint="eastAsia"/>
          <w:szCs w:val="24"/>
        </w:rPr>
        <w:t>和债券</w:t>
      </w:r>
    </w:p>
    <w:p w14:paraId="0CECFC38" w14:textId="77777777" w:rsidR="00E34AE3" w:rsidRDefault="009F4786" w:rsidP="00E34AE3">
      <w:pPr>
        <w:ind w:firstLine="480"/>
        <w:jc w:val="left"/>
        <w:rPr>
          <w:rFonts w:ascii="宋体" w:hAnsi="宋体"/>
          <w:szCs w:val="24"/>
        </w:rPr>
      </w:pPr>
      <w:r>
        <w:rPr>
          <w:rFonts w:ascii="宋体" w:hAnsi="宋体" w:hint="eastAsia"/>
          <w:szCs w:val="24"/>
        </w:rPr>
        <w:t>在阅读相关文献，整理公式如下：</w:t>
      </w:r>
    </w:p>
    <w:p w14:paraId="7A94B4FA" w14:textId="77777777" w:rsidR="009F4786" w:rsidRPr="001B7FBB" w:rsidRDefault="009F4786" w:rsidP="001B7FBB">
      <w:pPr>
        <w:ind w:firstLine="480"/>
        <w:jc w:val="left"/>
        <w:rPr>
          <w:rFonts w:ascii="宋体" w:hAnsi="宋体"/>
          <w:szCs w:val="24"/>
        </w:rPr>
      </w:pPr>
      <w:r w:rsidRPr="001B7FBB">
        <w:rPr>
          <w:rFonts w:ascii="宋体" w:hAnsi="宋体" w:hint="eastAsia"/>
          <w:szCs w:val="24"/>
        </w:rPr>
        <w:t>首先计算出股票</w:t>
      </w:r>
      <w:r>
        <w:rPr>
          <w:rStyle w:val="ad"/>
          <w:rFonts w:ascii="宋体" w:hAnsi="宋体"/>
          <w:szCs w:val="24"/>
        </w:rPr>
        <w:footnoteReference w:id="1"/>
      </w:r>
      <w:r w:rsidRPr="001B7FBB">
        <w:rPr>
          <w:rFonts w:ascii="宋体" w:hAnsi="宋体" w:hint="eastAsia"/>
          <w:szCs w:val="24"/>
        </w:rPr>
        <w:t>和债券的风险权重</w:t>
      </w:r>
      <w:r w:rsidR="001269F5">
        <w:rPr>
          <w:rStyle w:val="ad"/>
          <w:rFonts w:ascii="宋体" w:hAnsi="宋体"/>
          <w:szCs w:val="24"/>
        </w:rPr>
        <w:footnoteReference w:id="2"/>
      </w:r>
      <w:r w:rsidRPr="001B7FBB">
        <w:rPr>
          <w:rFonts w:ascii="宋体" w:hAnsi="宋体" w:hint="eastAsia"/>
          <w:szCs w:val="24"/>
        </w:rPr>
        <w:t>：</w:t>
      </w:r>
    </w:p>
    <w:p w14:paraId="35EFC359" w14:textId="77777777" w:rsidR="009F4786" w:rsidRPr="001269F5" w:rsidRDefault="001269F5" w:rsidP="001269F5">
      <w:pPr>
        <w:pStyle w:val="a6"/>
        <w:ind w:left="240" w:firstLineChars="0" w:firstLine="0"/>
        <w:jc w:val="left"/>
        <w:rPr>
          <w:rFonts w:ascii="宋体" w:hAnsi="宋体"/>
          <w:sz w:val="22"/>
          <w:szCs w:val="24"/>
        </w:rPr>
      </w:pPr>
      <m:oMathPara>
        <m:oMathParaPr>
          <m:jc m:val="left"/>
        </m:oMathParaPr>
        <m:oMath>
          <m:r>
            <m:rPr>
              <m:sty m:val="p"/>
            </m:rPr>
            <w:rPr>
              <w:rFonts w:ascii="Cambria Math" w:hAnsi="Cambria Math"/>
              <w:sz w:val="22"/>
              <w:szCs w:val="24"/>
            </w:rPr>
            <m:t xml:space="preserve">         </m:t>
          </m:r>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W</m:t>
              </m:r>
            </m:e>
            <m:sub>
              <m:r>
                <w:rPr>
                  <w:rFonts w:ascii="Cambria Math" w:hAnsi="Cambria Math" w:cs="Cambria Math" w:hint="eastAsia"/>
                  <w:sz w:val="22"/>
                  <w:szCs w:val="24"/>
                </w:rPr>
                <m:t>e</m:t>
              </m:r>
            </m:sub>
          </m:sSub>
          <m:r>
            <m:rPr>
              <m:sty m:val="p"/>
            </m:rPr>
            <w:rPr>
              <w:rFonts w:ascii="Cambria Math" w:eastAsia="Cambria Math" w:hAnsi="Cambria Math" w:cs="Cambria Math"/>
              <w:sz w:val="22"/>
              <w:szCs w:val="24"/>
            </w:rPr>
            <m:t>=</m:t>
          </m:r>
          <m:f>
            <m:fPr>
              <m:ctrlPr>
                <w:rPr>
                  <w:rFonts w:ascii="Cambria Math" w:eastAsia="Cambria Math" w:hAnsi="Cambria Math"/>
                  <w:sz w:val="22"/>
                  <w:szCs w:val="24"/>
                </w:rPr>
              </m:ctrlPr>
            </m:fPr>
            <m:num>
              <m:sSubSup>
                <m:sSubSupPr>
                  <m:ctrlPr>
                    <w:rPr>
                      <w:rFonts w:ascii="Cambria Math" w:eastAsia="Cambria Math" w:hAnsi="Cambria Math" w:cs="Cambria Math"/>
                      <w:sz w:val="22"/>
                      <w:szCs w:val="24"/>
                    </w:rPr>
                  </m:ctrlPr>
                </m:sSubSupPr>
                <m:e>
                  <m:r>
                    <w:rPr>
                      <w:rFonts w:ascii="Cambria Math" w:eastAsia="Cambria Math" w:hAnsi="Cambria Math" w:cs="Cambria Math"/>
                      <w:sz w:val="22"/>
                      <w:szCs w:val="24"/>
                    </w:rPr>
                    <m:t>w</m:t>
                  </m:r>
                </m:e>
                <m:sub>
                  <m:r>
                    <w:rPr>
                      <w:rFonts w:ascii="Cambria Math" w:eastAsia="Cambria Math" w:hAnsi="Cambria Math" w:cs="Cambria Math"/>
                      <w:sz w:val="22"/>
                      <w:szCs w:val="24"/>
                    </w:rPr>
                    <m:t>e</m:t>
                  </m:r>
                </m:sub>
                <m:sup>
                  <m:r>
                    <w:rPr>
                      <w:rFonts w:ascii="Cambria Math" w:eastAsia="Cambria Math" w:hAnsi="Cambria Math" w:cs="Cambria Math"/>
                      <w:sz w:val="22"/>
                      <w:szCs w:val="24"/>
                    </w:rPr>
                    <m:t>2</m:t>
                  </m:r>
                </m:sup>
              </m:sSubSup>
              <m:r>
                <m:rPr>
                  <m:sty m:val="p"/>
                </m:rPr>
                <w:rPr>
                  <w:rFonts w:ascii="Cambria Math" w:eastAsia="Cambria Math" w:hAnsi="Cambria Math"/>
                  <w:sz w:val="22"/>
                  <w:szCs w:val="24"/>
                </w:rPr>
                <m:t>×</m:t>
              </m:r>
              <m:sSubSup>
                <m:sSubSupPr>
                  <m:ctrlPr>
                    <w:rPr>
                      <w:rFonts w:ascii="Cambria Math" w:eastAsia="Cambria Math" w:hAnsi="Cambria Math"/>
                      <w:sz w:val="22"/>
                      <w:szCs w:val="24"/>
                    </w:rPr>
                  </m:ctrlPr>
                </m:sSubSupPr>
                <m:e>
                  <m:r>
                    <w:rPr>
                      <w:rFonts w:ascii="Cambria Math" w:eastAsia="Cambria Math" w:hAnsi="Cambria Math"/>
                      <w:sz w:val="22"/>
                      <w:szCs w:val="24"/>
                    </w:rPr>
                    <m:t>σ</m:t>
                  </m:r>
                </m:e>
                <m:sub>
                  <m:r>
                    <w:rPr>
                      <w:rFonts w:ascii="Cambria Math" w:eastAsia="Cambria Math" w:hAnsi="Cambria Math"/>
                      <w:sz w:val="22"/>
                      <w:szCs w:val="24"/>
                    </w:rPr>
                    <m:t>e</m:t>
                  </m:r>
                </m:sub>
                <m:sup>
                  <m:r>
                    <w:rPr>
                      <w:rFonts w:ascii="Cambria Math" w:eastAsia="Cambria Math" w:hAnsi="Cambria Math"/>
                      <w:sz w:val="22"/>
                      <w:szCs w:val="24"/>
                    </w:rPr>
                    <m:t>2</m:t>
                  </m:r>
                </m:sup>
              </m:sSubSup>
              <m:r>
                <w:rPr>
                  <w:rFonts w:ascii="Cambria Math" w:eastAsia="Cambria Math" w:hAnsi="Cambria Math"/>
                  <w:sz w:val="22"/>
                  <w:szCs w:val="24"/>
                </w:rPr>
                <m:t>+</m:t>
              </m:r>
              <m:sSub>
                <m:sSubPr>
                  <m:ctrlPr>
                    <w:rPr>
                      <w:rFonts w:ascii="Cambria Math" w:eastAsia="Cambria Math" w:hAnsi="Cambria Math"/>
                      <w:i/>
                      <w:sz w:val="22"/>
                      <w:szCs w:val="24"/>
                    </w:rPr>
                  </m:ctrlPr>
                </m:sSubPr>
                <m:e>
                  <m:r>
                    <w:rPr>
                      <w:rFonts w:ascii="Cambria Math" w:eastAsia="Cambria Math" w:hAnsi="Cambria Math"/>
                      <w:sz w:val="22"/>
                      <w:szCs w:val="24"/>
                    </w:rPr>
                    <m:t>w</m:t>
                  </m:r>
                </m:e>
                <m:sub>
                  <m:r>
                    <w:rPr>
                      <w:rFonts w:ascii="Cambria Math" w:eastAsia="Cambria Math" w:hAnsi="Cambria Math"/>
                      <w:sz w:val="22"/>
                      <w:szCs w:val="24"/>
                    </w:rPr>
                    <m:t>e</m:t>
                  </m:r>
                </m:sub>
              </m:sSub>
              <m:sSub>
                <m:sSubPr>
                  <m:ctrlPr>
                    <w:rPr>
                      <w:rFonts w:ascii="Cambria Math" w:eastAsia="Cambria Math" w:hAnsi="Cambria Math"/>
                      <w:i/>
                      <w:sz w:val="22"/>
                      <w:szCs w:val="24"/>
                    </w:rPr>
                  </m:ctrlPr>
                </m:sSubPr>
                <m:e>
                  <m:r>
                    <w:rPr>
                      <w:rFonts w:ascii="Cambria Math" w:eastAsia="Cambria Math" w:hAnsi="Cambria Math"/>
                      <w:sz w:val="22"/>
                      <w:szCs w:val="24"/>
                    </w:rPr>
                    <m:t>w</m:t>
                  </m:r>
                </m:e>
                <m:sub>
                  <m:r>
                    <w:rPr>
                      <w:rFonts w:ascii="Cambria Math" w:eastAsia="Cambria Math" w:hAnsi="Cambria Math"/>
                      <w:sz w:val="22"/>
                      <w:szCs w:val="24"/>
                    </w:rPr>
                    <m:t>b</m:t>
                  </m:r>
                </m:sub>
              </m:sSub>
              <m:sSub>
                <m:sSubPr>
                  <m:ctrlPr>
                    <w:rPr>
                      <w:rFonts w:ascii="Cambria Math" w:eastAsia="Cambria Math" w:hAnsi="Cambria Math"/>
                      <w:i/>
                      <w:sz w:val="22"/>
                      <w:szCs w:val="24"/>
                    </w:rPr>
                  </m:ctrlPr>
                </m:sSubPr>
                <m:e>
                  <m:r>
                    <w:rPr>
                      <w:rFonts w:ascii="Cambria Math" w:eastAsia="Cambria Math" w:hAnsi="Cambria Math"/>
                      <w:sz w:val="22"/>
                      <w:szCs w:val="24"/>
                    </w:rPr>
                    <m:t>ρ</m:t>
                  </m:r>
                </m:e>
                <m:sub>
                  <m:r>
                    <w:rPr>
                      <w:rFonts w:ascii="Cambria Math" w:eastAsia="Cambria Math" w:hAnsi="Cambria Math"/>
                      <w:sz w:val="22"/>
                      <w:szCs w:val="24"/>
                    </w:rPr>
                    <m:t>eb</m:t>
                  </m:r>
                </m:sub>
              </m:sSub>
              <m:sSub>
                <m:sSubPr>
                  <m:ctrlPr>
                    <w:rPr>
                      <w:rFonts w:ascii="Cambria Math" w:eastAsia="Cambria Math" w:hAnsi="Cambria Math"/>
                      <w:i/>
                      <w:sz w:val="22"/>
                      <w:szCs w:val="24"/>
                    </w:rPr>
                  </m:ctrlPr>
                </m:sSubPr>
                <m:e>
                  <m:r>
                    <w:rPr>
                      <w:rFonts w:ascii="Cambria Math" w:eastAsia="Cambria Math" w:hAnsi="Cambria Math"/>
                      <w:sz w:val="22"/>
                      <w:szCs w:val="24"/>
                    </w:rPr>
                    <m:t>σ</m:t>
                  </m:r>
                </m:e>
                <m:sub>
                  <m:r>
                    <w:rPr>
                      <w:rFonts w:ascii="Cambria Math" w:eastAsia="Cambria Math" w:hAnsi="Cambria Math"/>
                      <w:sz w:val="22"/>
                      <w:szCs w:val="24"/>
                    </w:rPr>
                    <m:t>e</m:t>
                  </m:r>
                </m:sub>
              </m:sSub>
              <m:sSub>
                <m:sSubPr>
                  <m:ctrlPr>
                    <w:rPr>
                      <w:rFonts w:ascii="Cambria Math" w:eastAsia="Cambria Math" w:hAnsi="Cambria Math"/>
                      <w:i/>
                      <w:sz w:val="22"/>
                      <w:szCs w:val="24"/>
                    </w:rPr>
                  </m:ctrlPr>
                </m:sSubPr>
                <m:e>
                  <m:r>
                    <w:rPr>
                      <w:rFonts w:ascii="Cambria Math" w:eastAsia="Cambria Math" w:hAnsi="Cambria Math"/>
                      <w:sz w:val="22"/>
                      <w:szCs w:val="24"/>
                    </w:rPr>
                    <m:t>σ</m:t>
                  </m:r>
                </m:e>
                <m:sub>
                  <m:r>
                    <w:rPr>
                      <w:rFonts w:ascii="Cambria Math" w:eastAsia="Cambria Math" w:hAnsi="Cambria Math"/>
                      <w:sz w:val="22"/>
                      <w:szCs w:val="24"/>
                    </w:rPr>
                    <m:t>b</m:t>
                  </m:r>
                </m:sub>
              </m:sSub>
            </m:num>
            <m:den>
              <m:sSubSup>
                <m:sSubSupPr>
                  <m:ctrlPr>
                    <w:rPr>
                      <w:rFonts w:ascii="Cambria Math" w:eastAsia="Cambria Math" w:hAnsi="Cambria Math"/>
                      <w:i/>
                      <w:sz w:val="22"/>
                      <w:szCs w:val="24"/>
                    </w:rPr>
                  </m:ctrlPr>
                </m:sSubSupPr>
                <m:e>
                  <m:r>
                    <w:rPr>
                      <w:rFonts w:ascii="Cambria Math" w:eastAsia="Cambria Math" w:hAnsi="Cambria Math"/>
                      <w:sz w:val="22"/>
                      <w:szCs w:val="24"/>
                    </w:rPr>
                    <m:t>σ</m:t>
                  </m:r>
                </m:e>
                <m:sub>
                  <m:r>
                    <w:rPr>
                      <w:rFonts w:ascii="Cambria Math" w:eastAsia="Cambria Math" w:hAnsi="Cambria Math"/>
                      <w:sz w:val="22"/>
                      <w:szCs w:val="24"/>
                    </w:rPr>
                    <m:t>p</m:t>
                  </m:r>
                </m:sub>
                <m:sup>
                  <m:r>
                    <w:rPr>
                      <w:rFonts w:ascii="Cambria Math" w:eastAsia="Cambria Math" w:hAnsi="Cambria Math"/>
                      <w:sz w:val="22"/>
                      <w:szCs w:val="24"/>
                    </w:rPr>
                    <m:t>2</m:t>
                  </m:r>
                </m:sup>
              </m:sSubSup>
            </m:den>
          </m:f>
          <m:r>
            <m:rPr>
              <m:sty m:val="p"/>
            </m:rPr>
            <w:rPr>
              <w:rFonts w:ascii="Cambria Math" w:hAnsi="Cambria Math"/>
              <w:sz w:val="22"/>
              <w:szCs w:val="24"/>
            </w:rPr>
            <m:t xml:space="preserve">             </m:t>
          </m:r>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W</m:t>
              </m:r>
            </m:e>
            <m:sub>
              <m:r>
                <w:rPr>
                  <w:rFonts w:ascii="Cambria Math" w:hAnsi="Cambria Math" w:cs="Cambria Math"/>
                  <w:sz w:val="22"/>
                  <w:szCs w:val="24"/>
                </w:rPr>
                <m:t>b</m:t>
              </m:r>
            </m:sub>
          </m:sSub>
          <m:r>
            <m:rPr>
              <m:sty m:val="p"/>
            </m:rPr>
            <w:rPr>
              <w:rFonts w:ascii="Cambria Math" w:eastAsia="Cambria Math" w:hAnsi="Cambria Math" w:cs="Cambria Math"/>
              <w:sz w:val="22"/>
              <w:szCs w:val="24"/>
            </w:rPr>
            <m:t>=</m:t>
          </m:r>
          <m:f>
            <m:fPr>
              <m:ctrlPr>
                <w:rPr>
                  <w:rFonts w:ascii="Cambria Math" w:eastAsia="Cambria Math" w:hAnsi="Cambria Math"/>
                  <w:sz w:val="22"/>
                  <w:szCs w:val="24"/>
                </w:rPr>
              </m:ctrlPr>
            </m:fPr>
            <m:num>
              <m:sSubSup>
                <m:sSubSupPr>
                  <m:ctrlPr>
                    <w:rPr>
                      <w:rFonts w:ascii="Cambria Math" w:eastAsia="Cambria Math" w:hAnsi="Cambria Math" w:cs="Cambria Math"/>
                      <w:sz w:val="22"/>
                      <w:szCs w:val="24"/>
                    </w:rPr>
                  </m:ctrlPr>
                </m:sSubSupPr>
                <m:e>
                  <m:r>
                    <w:rPr>
                      <w:rFonts w:ascii="Cambria Math" w:eastAsia="Cambria Math" w:hAnsi="Cambria Math" w:cs="Cambria Math"/>
                      <w:sz w:val="22"/>
                      <w:szCs w:val="24"/>
                    </w:rPr>
                    <m:t>w</m:t>
                  </m:r>
                </m:e>
                <m:sub>
                  <m:r>
                    <w:rPr>
                      <w:rFonts w:ascii="Cambria Math" w:eastAsia="Cambria Math" w:hAnsi="Cambria Math" w:cs="Cambria Math"/>
                      <w:sz w:val="22"/>
                      <w:szCs w:val="24"/>
                    </w:rPr>
                    <m:t>b</m:t>
                  </m:r>
                </m:sub>
                <m:sup>
                  <m:r>
                    <w:rPr>
                      <w:rFonts w:ascii="Cambria Math" w:eastAsia="Cambria Math" w:hAnsi="Cambria Math" w:cs="Cambria Math"/>
                      <w:sz w:val="22"/>
                      <w:szCs w:val="24"/>
                    </w:rPr>
                    <m:t>2</m:t>
                  </m:r>
                </m:sup>
              </m:sSubSup>
              <m:r>
                <m:rPr>
                  <m:sty m:val="p"/>
                </m:rPr>
                <w:rPr>
                  <w:rFonts w:ascii="Cambria Math" w:eastAsia="Cambria Math" w:hAnsi="Cambria Math"/>
                  <w:sz w:val="22"/>
                  <w:szCs w:val="24"/>
                </w:rPr>
                <m:t>×</m:t>
              </m:r>
              <m:sSubSup>
                <m:sSubSupPr>
                  <m:ctrlPr>
                    <w:rPr>
                      <w:rFonts w:ascii="Cambria Math" w:eastAsia="Cambria Math" w:hAnsi="Cambria Math"/>
                      <w:sz w:val="22"/>
                      <w:szCs w:val="24"/>
                    </w:rPr>
                  </m:ctrlPr>
                </m:sSubSupPr>
                <m:e>
                  <m:r>
                    <w:rPr>
                      <w:rFonts w:ascii="Cambria Math" w:eastAsia="Cambria Math" w:hAnsi="Cambria Math"/>
                      <w:sz w:val="22"/>
                      <w:szCs w:val="24"/>
                    </w:rPr>
                    <m:t>σ</m:t>
                  </m:r>
                </m:e>
                <m:sub>
                  <m:r>
                    <w:rPr>
                      <w:rFonts w:ascii="Cambria Math" w:eastAsia="Cambria Math" w:hAnsi="Cambria Math"/>
                      <w:sz w:val="22"/>
                      <w:szCs w:val="24"/>
                    </w:rPr>
                    <m:t>b</m:t>
                  </m:r>
                </m:sub>
                <m:sup>
                  <m:r>
                    <w:rPr>
                      <w:rFonts w:ascii="Cambria Math" w:eastAsia="Cambria Math" w:hAnsi="Cambria Math"/>
                      <w:sz w:val="22"/>
                      <w:szCs w:val="24"/>
                    </w:rPr>
                    <m:t>2</m:t>
                  </m:r>
                </m:sup>
              </m:sSubSup>
              <m:r>
                <w:rPr>
                  <w:rFonts w:ascii="Cambria Math" w:eastAsia="Cambria Math" w:hAnsi="Cambria Math"/>
                  <w:sz w:val="22"/>
                  <w:szCs w:val="24"/>
                </w:rPr>
                <m:t>+</m:t>
              </m:r>
              <m:sSub>
                <m:sSubPr>
                  <m:ctrlPr>
                    <w:rPr>
                      <w:rFonts w:ascii="Cambria Math" w:eastAsia="Cambria Math" w:hAnsi="Cambria Math"/>
                      <w:i/>
                      <w:sz w:val="22"/>
                      <w:szCs w:val="24"/>
                    </w:rPr>
                  </m:ctrlPr>
                </m:sSubPr>
                <m:e>
                  <m:r>
                    <w:rPr>
                      <w:rFonts w:ascii="Cambria Math" w:eastAsia="Cambria Math" w:hAnsi="Cambria Math"/>
                      <w:sz w:val="22"/>
                      <w:szCs w:val="24"/>
                    </w:rPr>
                    <m:t>w</m:t>
                  </m:r>
                </m:e>
                <m:sub>
                  <m:r>
                    <w:rPr>
                      <w:rFonts w:ascii="Cambria Math" w:eastAsia="Cambria Math" w:hAnsi="Cambria Math"/>
                      <w:sz w:val="22"/>
                      <w:szCs w:val="24"/>
                    </w:rPr>
                    <m:t>e</m:t>
                  </m:r>
                </m:sub>
              </m:sSub>
              <m:sSub>
                <m:sSubPr>
                  <m:ctrlPr>
                    <w:rPr>
                      <w:rFonts w:ascii="Cambria Math" w:eastAsia="Cambria Math" w:hAnsi="Cambria Math"/>
                      <w:i/>
                      <w:sz w:val="22"/>
                      <w:szCs w:val="24"/>
                    </w:rPr>
                  </m:ctrlPr>
                </m:sSubPr>
                <m:e>
                  <m:r>
                    <w:rPr>
                      <w:rFonts w:ascii="Cambria Math" w:eastAsia="Cambria Math" w:hAnsi="Cambria Math"/>
                      <w:sz w:val="22"/>
                      <w:szCs w:val="24"/>
                    </w:rPr>
                    <m:t>w</m:t>
                  </m:r>
                </m:e>
                <m:sub>
                  <m:r>
                    <w:rPr>
                      <w:rFonts w:ascii="Cambria Math" w:eastAsia="Cambria Math" w:hAnsi="Cambria Math"/>
                      <w:sz w:val="22"/>
                      <w:szCs w:val="24"/>
                    </w:rPr>
                    <m:t>b</m:t>
                  </m:r>
                </m:sub>
              </m:sSub>
              <m:sSub>
                <m:sSubPr>
                  <m:ctrlPr>
                    <w:rPr>
                      <w:rFonts w:ascii="Cambria Math" w:eastAsia="Cambria Math" w:hAnsi="Cambria Math"/>
                      <w:i/>
                      <w:sz w:val="22"/>
                      <w:szCs w:val="24"/>
                    </w:rPr>
                  </m:ctrlPr>
                </m:sSubPr>
                <m:e>
                  <m:r>
                    <w:rPr>
                      <w:rFonts w:ascii="Cambria Math" w:eastAsia="Cambria Math" w:hAnsi="Cambria Math"/>
                      <w:sz w:val="22"/>
                      <w:szCs w:val="24"/>
                    </w:rPr>
                    <m:t>ρ</m:t>
                  </m:r>
                </m:e>
                <m:sub>
                  <m:r>
                    <w:rPr>
                      <w:rFonts w:ascii="Cambria Math" w:eastAsia="Cambria Math" w:hAnsi="Cambria Math"/>
                      <w:sz w:val="22"/>
                      <w:szCs w:val="24"/>
                    </w:rPr>
                    <m:t>eb</m:t>
                  </m:r>
                </m:sub>
              </m:sSub>
              <m:sSub>
                <m:sSubPr>
                  <m:ctrlPr>
                    <w:rPr>
                      <w:rFonts w:ascii="Cambria Math" w:eastAsia="Cambria Math" w:hAnsi="Cambria Math"/>
                      <w:i/>
                      <w:sz w:val="22"/>
                      <w:szCs w:val="24"/>
                    </w:rPr>
                  </m:ctrlPr>
                </m:sSubPr>
                <m:e>
                  <m:r>
                    <w:rPr>
                      <w:rFonts w:ascii="Cambria Math" w:eastAsia="Cambria Math" w:hAnsi="Cambria Math"/>
                      <w:sz w:val="22"/>
                      <w:szCs w:val="24"/>
                    </w:rPr>
                    <m:t>σ</m:t>
                  </m:r>
                </m:e>
                <m:sub>
                  <m:r>
                    <w:rPr>
                      <w:rFonts w:ascii="Cambria Math" w:eastAsia="Cambria Math" w:hAnsi="Cambria Math"/>
                      <w:sz w:val="22"/>
                      <w:szCs w:val="24"/>
                    </w:rPr>
                    <m:t>e</m:t>
                  </m:r>
                </m:sub>
              </m:sSub>
              <m:sSub>
                <m:sSubPr>
                  <m:ctrlPr>
                    <w:rPr>
                      <w:rFonts w:ascii="Cambria Math" w:eastAsia="Cambria Math" w:hAnsi="Cambria Math"/>
                      <w:i/>
                      <w:sz w:val="22"/>
                      <w:szCs w:val="24"/>
                    </w:rPr>
                  </m:ctrlPr>
                </m:sSubPr>
                <m:e>
                  <m:r>
                    <w:rPr>
                      <w:rFonts w:ascii="Cambria Math" w:eastAsia="Cambria Math" w:hAnsi="Cambria Math"/>
                      <w:sz w:val="22"/>
                      <w:szCs w:val="24"/>
                    </w:rPr>
                    <m:t>σ</m:t>
                  </m:r>
                </m:e>
                <m:sub>
                  <m:r>
                    <w:rPr>
                      <w:rFonts w:ascii="Cambria Math" w:eastAsia="Cambria Math" w:hAnsi="Cambria Math"/>
                      <w:sz w:val="22"/>
                      <w:szCs w:val="24"/>
                    </w:rPr>
                    <m:t>b</m:t>
                  </m:r>
                </m:sub>
              </m:sSub>
            </m:num>
            <m:den>
              <m:sSubSup>
                <m:sSubSupPr>
                  <m:ctrlPr>
                    <w:rPr>
                      <w:rFonts w:ascii="Cambria Math" w:eastAsia="Cambria Math" w:hAnsi="Cambria Math"/>
                      <w:i/>
                      <w:sz w:val="22"/>
                      <w:szCs w:val="24"/>
                    </w:rPr>
                  </m:ctrlPr>
                </m:sSubSupPr>
                <m:e>
                  <m:r>
                    <w:rPr>
                      <w:rFonts w:ascii="Cambria Math" w:eastAsia="Cambria Math" w:hAnsi="Cambria Math"/>
                      <w:sz w:val="22"/>
                      <w:szCs w:val="24"/>
                    </w:rPr>
                    <m:t>σ</m:t>
                  </m:r>
                </m:e>
                <m:sub>
                  <m:r>
                    <w:rPr>
                      <w:rFonts w:ascii="Cambria Math" w:eastAsia="Cambria Math" w:hAnsi="Cambria Math"/>
                      <w:sz w:val="22"/>
                      <w:szCs w:val="24"/>
                    </w:rPr>
                    <m:t>p</m:t>
                  </m:r>
                </m:sub>
                <m:sup>
                  <m:r>
                    <w:rPr>
                      <w:rFonts w:ascii="Cambria Math" w:eastAsia="Cambria Math" w:hAnsi="Cambria Math"/>
                      <w:sz w:val="22"/>
                      <w:szCs w:val="24"/>
                    </w:rPr>
                    <m:t>2</m:t>
                  </m:r>
                </m:sup>
              </m:sSubSup>
            </m:den>
          </m:f>
        </m:oMath>
      </m:oMathPara>
    </w:p>
    <w:p w14:paraId="4A25EFCB" w14:textId="77777777" w:rsidR="001F75A9" w:rsidRPr="00E81ED5" w:rsidRDefault="001F75A9" w:rsidP="001B7FBB">
      <w:pPr>
        <w:pStyle w:val="a6"/>
        <w:ind w:left="240" w:firstLineChars="100" w:firstLine="240"/>
        <w:jc w:val="left"/>
        <w:rPr>
          <w:rFonts w:ascii="宋体" w:hAnsi="宋体"/>
          <w:szCs w:val="24"/>
        </w:rPr>
      </w:pPr>
      <w:r w:rsidRPr="00E81ED5">
        <w:rPr>
          <w:rFonts w:ascii="宋体" w:hAnsi="宋体" w:hint="eastAsia"/>
          <w:szCs w:val="24"/>
        </w:rPr>
        <w:t>其中</w:t>
      </w:r>
      <m:oMath>
        <m:sSub>
          <m:sSubPr>
            <m:ctrlPr>
              <w:rPr>
                <w:rFonts w:ascii="Cambria Math" w:eastAsia="Cambria Math" w:hAnsi="Cambria Math" w:cs="Cambria Math"/>
                <w:i/>
                <w:szCs w:val="24"/>
              </w:rPr>
            </m:ctrlPr>
          </m:sSubPr>
          <m:e>
            <m:r>
              <w:rPr>
                <w:rFonts w:ascii="Cambria Math" w:eastAsia="Cambria Math" w:hAnsi="Cambria Math" w:cs="Cambria Math"/>
                <w:szCs w:val="24"/>
              </w:rPr>
              <m:t>W</m:t>
            </m:r>
          </m:e>
          <m:sub>
            <m:r>
              <w:rPr>
                <w:rFonts w:ascii="Cambria Math" w:hAnsi="Cambria Math" w:cs="Cambria Math" w:hint="eastAsia"/>
                <w:szCs w:val="24"/>
              </w:rPr>
              <m:t>e</m:t>
            </m:r>
          </m:sub>
        </m:sSub>
      </m:oMath>
      <w:r w:rsidRPr="00E81ED5">
        <w:rPr>
          <w:rFonts w:ascii="宋体" w:hAnsi="宋体" w:hint="eastAsia"/>
          <w:szCs w:val="24"/>
        </w:rPr>
        <w:t>和</w:t>
      </w:r>
      <m:oMath>
        <m:sSub>
          <m:sSubPr>
            <m:ctrlPr>
              <w:rPr>
                <w:rFonts w:ascii="Cambria Math" w:eastAsia="Cambria Math" w:hAnsi="Cambria Math" w:cs="Cambria Math"/>
                <w:i/>
                <w:szCs w:val="24"/>
              </w:rPr>
            </m:ctrlPr>
          </m:sSubPr>
          <m:e>
            <m:r>
              <w:rPr>
                <w:rFonts w:ascii="Cambria Math" w:eastAsia="Cambria Math" w:hAnsi="Cambria Math" w:cs="Cambria Math"/>
                <w:szCs w:val="24"/>
              </w:rPr>
              <m:t>W</m:t>
            </m:r>
          </m:e>
          <m:sub>
            <m:r>
              <w:rPr>
                <w:rFonts w:ascii="Cambria Math" w:hAnsi="Cambria Math" w:cs="Cambria Math"/>
                <w:szCs w:val="24"/>
              </w:rPr>
              <m:t>b</m:t>
            </m:r>
          </m:sub>
        </m:sSub>
      </m:oMath>
      <w:r w:rsidRPr="00E81ED5">
        <w:rPr>
          <w:rFonts w:ascii="宋体" w:hAnsi="宋体" w:hint="eastAsia"/>
          <w:szCs w:val="24"/>
        </w:rPr>
        <w:t>分别代表股票和债券的风险权重，</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e</m:t>
            </m:r>
          </m:sub>
        </m:sSub>
      </m:oMath>
      <w:r w:rsidRPr="00E81ED5">
        <w:rPr>
          <w:rFonts w:ascii="宋体" w:hAnsi="宋体" w:hint="eastAsia"/>
          <w:szCs w:val="24"/>
        </w:rPr>
        <w:t>和</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b</m:t>
            </m:r>
          </m:sub>
        </m:sSub>
      </m:oMath>
      <w:r w:rsidRPr="00E81ED5">
        <w:rPr>
          <w:rFonts w:ascii="宋体" w:hAnsi="宋体" w:hint="eastAsia"/>
          <w:szCs w:val="24"/>
        </w:rPr>
        <w:t>分别代表股票和债券在投资组合中的权重，</w:t>
      </w:r>
      <m:oMath>
        <m:sSub>
          <m:sSubPr>
            <m:ctrlPr>
              <w:rPr>
                <w:rFonts w:ascii="Cambria Math" w:hAnsi="Cambria Math"/>
                <w:szCs w:val="24"/>
              </w:rPr>
            </m:ctrlPr>
          </m:sSubPr>
          <m:e>
            <m:r>
              <w:rPr>
                <w:rFonts w:ascii="Cambria Math" w:hAnsi="Cambria Math"/>
                <w:szCs w:val="24"/>
              </w:rPr>
              <m:t>σ</m:t>
            </m:r>
          </m:e>
          <m:sub>
            <m:r>
              <w:rPr>
                <w:rFonts w:ascii="Cambria Math" w:hAnsi="Cambria Math" w:hint="eastAsia"/>
                <w:szCs w:val="24"/>
              </w:rPr>
              <m:t>p</m:t>
            </m:r>
          </m:sub>
        </m:sSub>
      </m:oMath>
      <w:r w:rsidRPr="00E81ED5">
        <w:rPr>
          <w:rFonts w:ascii="宋体" w:hAnsi="宋体" w:hint="eastAsia"/>
          <w:szCs w:val="24"/>
        </w:rPr>
        <w:t>代表投资组合的标准差。</w:t>
      </w:r>
    </w:p>
    <w:p w14:paraId="2C6D1D02" w14:textId="77777777" w:rsidR="001F75A9" w:rsidRPr="00E81ED5" w:rsidRDefault="001269F5" w:rsidP="001B7FBB">
      <w:pPr>
        <w:pStyle w:val="a6"/>
        <w:ind w:left="240" w:firstLineChars="100" w:firstLine="240"/>
        <w:jc w:val="left"/>
        <w:rPr>
          <w:rFonts w:ascii="宋体" w:hAnsi="宋体"/>
          <w:szCs w:val="24"/>
        </w:rPr>
      </w:pPr>
      <w:r w:rsidRPr="00E81ED5">
        <w:rPr>
          <w:rFonts w:ascii="宋体" w:hAnsi="宋体" w:hint="eastAsia"/>
          <w:szCs w:val="24"/>
        </w:rPr>
        <w:t>在风险平价体系下，所有资产的风险权重</w:t>
      </w:r>
      <w:r w:rsidR="001F75A9" w:rsidRPr="00E81ED5">
        <w:rPr>
          <w:rFonts w:ascii="宋体" w:hAnsi="宋体" w:hint="eastAsia"/>
          <w:szCs w:val="24"/>
        </w:rPr>
        <w:t xml:space="preserve">应当相等，且风险权重之和为1，推导出： </w:t>
      </w:r>
    </w:p>
    <w:p w14:paraId="70FE9C88" w14:textId="77777777" w:rsidR="001269F5" w:rsidRPr="001269F5" w:rsidRDefault="001F75A9" w:rsidP="001269F5">
      <w:pPr>
        <w:pStyle w:val="a6"/>
        <w:ind w:left="240" w:firstLineChars="0" w:firstLine="0"/>
        <w:jc w:val="left"/>
        <w:rPr>
          <w:rFonts w:ascii="宋体" w:hAnsi="宋体"/>
          <w:szCs w:val="24"/>
        </w:rPr>
      </w:pPr>
      <m:oMathPara>
        <m:oMathParaPr>
          <m:jc m:val="left"/>
        </m:oMathParaPr>
        <m:oMath>
          <m:r>
            <w:rPr>
              <w:rFonts w:ascii="Cambria Math" w:hAnsi="Cambria Math"/>
              <w:sz w:val="22"/>
              <w:szCs w:val="24"/>
            </w:rPr>
            <m:t xml:space="preserve">        </m:t>
          </m:r>
          <m:sSub>
            <m:sSubPr>
              <m:ctrlPr>
                <w:rPr>
                  <w:rFonts w:ascii="Cambria Math" w:hAnsi="Cambria Math"/>
                  <w:sz w:val="22"/>
                  <w:szCs w:val="24"/>
                </w:rPr>
              </m:ctrlPr>
            </m:sSubPr>
            <m:e>
              <m:r>
                <w:rPr>
                  <w:rFonts w:ascii="Cambria Math" w:hAnsi="Cambria Math"/>
                  <w:sz w:val="22"/>
                  <w:szCs w:val="24"/>
                </w:rPr>
                <m:t>W</m:t>
              </m:r>
            </m:e>
            <m:sub>
              <m:r>
                <w:rPr>
                  <w:rFonts w:ascii="Cambria Math" w:hAnsi="Cambria Math" w:hint="eastAsia"/>
                  <w:sz w:val="22"/>
                  <w:szCs w:val="24"/>
                </w:rPr>
                <m:t>e</m:t>
              </m:r>
            </m:sub>
          </m:sSub>
          <m:r>
            <w:rPr>
              <w:rFonts w:ascii="Cambria Math" w:hAnsi="Cambria Math" w:hint="eastAsia"/>
              <w:sz w:val="22"/>
              <w:szCs w:val="24"/>
            </w:rPr>
            <m:t>+</m:t>
          </m:r>
          <m:sSub>
            <m:sSubPr>
              <m:ctrlPr>
                <w:rPr>
                  <w:rFonts w:ascii="Cambria Math" w:hAnsi="Cambria Math"/>
                  <w:i/>
                  <w:sz w:val="22"/>
                  <w:szCs w:val="24"/>
                </w:rPr>
              </m:ctrlPr>
            </m:sSubPr>
            <m:e>
              <m:r>
                <w:rPr>
                  <w:rFonts w:ascii="Cambria Math" w:hAnsi="Cambria Math"/>
                  <w:sz w:val="22"/>
                  <w:szCs w:val="24"/>
                </w:rPr>
                <m:t>W</m:t>
              </m:r>
            </m:e>
            <m:sub>
              <m:r>
                <w:rPr>
                  <w:rFonts w:ascii="Cambria Math" w:hAnsi="Cambria Math"/>
                  <w:sz w:val="22"/>
                  <w:szCs w:val="24"/>
                </w:rPr>
                <m:t>b</m:t>
              </m:r>
            </m:sub>
          </m:sSub>
          <m:r>
            <w:rPr>
              <w:rFonts w:ascii="Cambria Math" w:hAnsi="Cambria Math"/>
              <w:sz w:val="22"/>
              <w:szCs w:val="24"/>
            </w:rPr>
            <m:t xml:space="preserve">=1     </m:t>
          </m:r>
          <m:sSub>
            <m:sSubPr>
              <m:ctrlPr>
                <w:rPr>
                  <w:rFonts w:ascii="Cambria Math" w:hAnsi="Cambria Math"/>
                  <w:i/>
                  <w:sz w:val="22"/>
                  <w:szCs w:val="24"/>
                </w:rPr>
              </m:ctrlPr>
            </m:sSubPr>
            <m:e>
              <m:r>
                <w:rPr>
                  <w:rFonts w:ascii="Cambria Math" w:hAnsi="Cambria Math"/>
                  <w:sz w:val="22"/>
                  <w:szCs w:val="24"/>
                </w:rPr>
                <m:t>W</m:t>
              </m:r>
            </m:e>
            <m:sub>
              <m:r>
                <w:rPr>
                  <w:rFonts w:ascii="Cambria Math" w:hAnsi="Cambria Math"/>
                  <w:sz w:val="22"/>
                  <w:szCs w:val="24"/>
                </w:rPr>
                <m:t>e</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W</m:t>
              </m:r>
            </m:e>
            <m:sub>
              <m:r>
                <w:rPr>
                  <w:rFonts w:ascii="Cambria Math" w:hAnsi="Cambria Math"/>
                  <w:sz w:val="22"/>
                  <w:szCs w:val="24"/>
                </w:rPr>
                <m:t>b</m:t>
              </m:r>
            </m:sub>
          </m:sSub>
        </m:oMath>
      </m:oMathPara>
    </w:p>
    <w:p w14:paraId="72C80032" w14:textId="77777777" w:rsidR="001269F5" w:rsidRDefault="001F75A9" w:rsidP="001B7FBB">
      <w:pPr>
        <w:ind w:firstLine="480"/>
        <w:jc w:val="left"/>
        <w:rPr>
          <w:rFonts w:ascii="宋体" w:hAnsi="宋体"/>
          <w:szCs w:val="24"/>
        </w:rPr>
      </w:pPr>
      <w:r w:rsidRPr="001F75A9">
        <w:rPr>
          <w:rFonts w:ascii="宋体" w:hAnsi="宋体" w:hint="eastAsia"/>
          <w:szCs w:val="24"/>
        </w:rPr>
        <w:lastRenderedPageBreak/>
        <w:t>因此在两种资产的风险平价模型下</w:t>
      </w:r>
      <w:r>
        <w:rPr>
          <w:rFonts w:ascii="宋体" w:hAnsi="宋体" w:hint="eastAsia"/>
          <w:szCs w:val="24"/>
        </w:rPr>
        <w:t>：</w:t>
      </w:r>
    </w:p>
    <w:p w14:paraId="7DBC627D" w14:textId="77777777" w:rsidR="002D6054" w:rsidRPr="002D6054" w:rsidRDefault="001B7FBB" w:rsidP="009B6997">
      <w:pPr>
        <w:ind w:firstLine="440"/>
        <w:jc w:val="left"/>
        <w:rPr>
          <w:rFonts w:ascii="宋体" w:hAnsi="宋体"/>
          <w:sz w:val="22"/>
        </w:rPr>
      </w:pPr>
      <m:oMathPara>
        <m:oMathParaPr>
          <m:jc m:val="left"/>
        </m:oMathParaPr>
        <m:oMath>
          <m:r>
            <w:rPr>
              <w:rFonts w:ascii="Cambria Math" w:hAnsi="Cambria Math"/>
              <w:sz w:val="22"/>
            </w:rPr>
            <m:t xml:space="preserve">              </m:t>
          </m:r>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w</m:t>
                  </m:r>
                </m:e>
                <m:sub>
                  <m:r>
                    <w:rPr>
                      <w:rFonts w:ascii="Cambria Math" w:hAnsi="Cambria Math"/>
                      <w:sz w:val="22"/>
                    </w:rPr>
                    <m:t>e</m:t>
                  </m:r>
                </m:sub>
              </m:sSub>
            </m:num>
            <m:den>
              <m:sSub>
                <m:sSubPr>
                  <m:ctrlPr>
                    <w:rPr>
                      <w:rFonts w:ascii="Cambria Math" w:hAnsi="Cambria Math"/>
                      <w:i/>
                      <w:sz w:val="22"/>
                    </w:rPr>
                  </m:ctrlPr>
                </m:sSubPr>
                <m:e>
                  <m:r>
                    <w:rPr>
                      <w:rFonts w:ascii="Cambria Math" w:hAnsi="Cambria Math"/>
                      <w:sz w:val="22"/>
                    </w:rPr>
                    <m:t>w</m:t>
                  </m:r>
                </m:e>
                <m:sub>
                  <m:r>
                    <w:rPr>
                      <w:rFonts w:ascii="Cambria Math" w:hAnsi="Cambria Math"/>
                      <w:sz w:val="22"/>
                    </w:rPr>
                    <m:t>b</m:t>
                  </m:r>
                </m:sub>
              </m:sSub>
            </m:den>
          </m:f>
          <m:r>
            <m:rPr>
              <m:sty m:val="p"/>
            </m:rPr>
            <w:rPr>
              <w:rFonts w:ascii="Cambria Math" w:hAnsi="Cambria Math" w:hint="eastAsia"/>
              <w:sz w:val="22"/>
            </w:rPr>
            <m:t>=</m:t>
          </m:r>
          <m:f>
            <m:fPr>
              <m:ctrlPr>
                <w:rPr>
                  <w:rFonts w:ascii="Cambria Math" w:hAnsi="Cambria Math"/>
                  <w:sz w:val="22"/>
                </w:rPr>
              </m:ctrlPr>
            </m:fPr>
            <m:num>
              <m:sSub>
                <m:sSubPr>
                  <m:ctrlPr>
                    <w:rPr>
                      <w:rFonts w:ascii="Cambria Math" w:hAnsi="Cambria Math"/>
                      <w:i/>
                      <w:sz w:val="22"/>
                    </w:rPr>
                  </m:ctrlPr>
                </m:sSubPr>
                <m:e>
                  <m:r>
                    <w:rPr>
                      <w:rFonts w:ascii="Cambria Math" w:hAnsi="Cambria Math"/>
                      <w:sz w:val="22"/>
                    </w:rPr>
                    <m:t>σ</m:t>
                  </m:r>
                </m:e>
                <m:sub>
                  <m:r>
                    <w:rPr>
                      <w:rFonts w:ascii="Cambria Math" w:hAnsi="Cambria Math"/>
                      <w:sz w:val="22"/>
                    </w:rPr>
                    <m:t>b</m:t>
                  </m:r>
                </m:sub>
              </m:sSub>
            </m:num>
            <m:den>
              <m:sSub>
                <m:sSubPr>
                  <m:ctrlPr>
                    <w:rPr>
                      <w:rFonts w:ascii="Cambria Math" w:hAnsi="Cambria Math"/>
                      <w:i/>
                      <w:sz w:val="22"/>
                    </w:rPr>
                  </m:ctrlPr>
                </m:sSubPr>
                <m:e>
                  <m:r>
                    <w:rPr>
                      <w:rFonts w:ascii="Cambria Math" w:hAnsi="Cambria Math"/>
                      <w:sz w:val="22"/>
                    </w:rPr>
                    <m:t>σ</m:t>
                  </m:r>
                </m:e>
                <m:sub>
                  <m:r>
                    <w:rPr>
                      <w:rFonts w:ascii="Cambria Math" w:hAnsi="Cambria Math"/>
                      <w:sz w:val="22"/>
                    </w:rPr>
                    <m:t>e</m:t>
                  </m:r>
                </m:sub>
              </m:sSub>
            </m:den>
          </m:f>
        </m:oMath>
      </m:oMathPara>
    </w:p>
    <w:p w14:paraId="3F1B5E01" w14:textId="77777777" w:rsidR="001B7FBB" w:rsidRDefault="002D6054" w:rsidP="002D6054">
      <w:pPr>
        <w:ind w:firstLine="440"/>
        <w:jc w:val="left"/>
        <w:rPr>
          <w:rFonts w:ascii="宋体" w:hAnsi="宋体"/>
          <w:sz w:val="22"/>
        </w:rPr>
      </w:pPr>
      <w:r>
        <w:rPr>
          <w:rFonts w:ascii="宋体" w:hAnsi="宋体" w:hint="eastAsia"/>
          <w:sz w:val="22"/>
        </w:rPr>
        <w:t xml:space="preserve"> </w:t>
      </w:r>
      <w:r>
        <w:rPr>
          <w:rFonts w:ascii="宋体" w:hAnsi="宋体"/>
          <w:sz w:val="22"/>
        </w:rPr>
        <w:t xml:space="preserve">    </w:t>
      </w:r>
      <w:r w:rsidRPr="001B7FBB">
        <w:rPr>
          <w:rFonts w:ascii="宋体" w:hAnsi="宋体" w:hint="eastAsia"/>
          <w:szCs w:val="24"/>
        </w:rPr>
        <w:t>因此，在风险</w:t>
      </w:r>
      <w:r w:rsidR="009B6997" w:rsidRPr="001B7FBB">
        <w:rPr>
          <w:rFonts w:ascii="宋体" w:hAnsi="宋体" w:hint="eastAsia"/>
          <w:szCs w:val="24"/>
        </w:rPr>
        <w:t>平价</w:t>
      </w:r>
      <w:r w:rsidRPr="001B7FBB">
        <w:rPr>
          <w:rFonts w:ascii="宋体" w:hAnsi="宋体" w:hint="eastAsia"/>
          <w:szCs w:val="24"/>
        </w:rPr>
        <w:t>模型下</w:t>
      </w:r>
      <w:r>
        <w:rPr>
          <w:rFonts w:ascii="宋体" w:hAnsi="宋体" w:hint="eastAsia"/>
          <w:sz w:val="22"/>
        </w:rPr>
        <w:t>，</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e</m:t>
            </m:r>
          </m:sub>
        </m:sSub>
        <m:r>
          <w:rPr>
            <w:rFonts w:ascii="Cambria Math" w:hAnsi="Cambria Math"/>
            <w:sz w:val="22"/>
          </w:rPr>
          <m:t>:</m:t>
        </m:r>
        <m:sSub>
          <m:sSubPr>
            <m:ctrlPr>
              <w:rPr>
                <w:rFonts w:ascii="Cambria Math" w:hAnsi="Cambria Math"/>
                <w:i/>
                <w:sz w:val="22"/>
              </w:rPr>
            </m:ctrlPr>
          </m:sSubPr>
          <m:e>
            <m:r>
              <w:rPr>
                <w:rFonts w:ascii="Cambria Math" w:hAnsi="Cambria Math"/>
                <w:sz w:val="22"/>
              </w:rPr>
              <m:t>w</m:t>
            </m:r>
          </m:e>
          <m:sub>
            <m:r>
              <w:rPr>
                <w:rFonts w:ascii="Cambria Math" w:hAnsi="Cambria Math"/>
                <w:sz w:val="22"/>
              </w:rPr>
              <m:t>b</m:t>
            </m:r>
          </m:sub>
        </m:sSub>
        <m:r>
          <w:rPr>
            <w:rFonts w:ascii="Cambria Math" w:hAnsi="Cambria Math"/>
            <w:sz w:val="22"/>
          </w:rPr>
          <m:t>=0.0673</m:t>
        </m:r>
      </m:oMath>
    </w:p>
    <w:p w14:paraId="17F22B4D" w14:textId="77777777" w:rsidR="001B7FBB" w:rsidRDefault="001B7FBB" w:rsidP="001B7FBB">
      <w:pPr>
        <w:ind w:firstLine="440"/>
        <w:jc w:val="left"/>
        <w:rPr>
          <w:rFonts w:ascii="宋体" w:hAnsi="宋体"/>
          <w:szCs w:val="24"/>
        </w:rPr>
      </w:pPr>
      <w:r>
        <w:rPr>
          <w:rFonts w:ascii="宋体" w:hAnsi="宋体" w:hint="eastAsia"/>
          <w:sz w:val="22"/>
        </w:rPr>
        <w:t>（3）</w:t>
      </w:r>
      <w:r w:rsidRPr="001B7FBB">
        <w:rPr>
          <w:rFonts w:ascii="宋体" w:hAnsi="宋体" w:hint="eastAsia"/>
          <w:szCs w:val="24"/>
        </w:rPr>
        <w:t>加杠杆的风险平价模型</w:t>
      </w:r>
      <w:proofErr w:type="gramStart"/>
      <w:r w:rsidRPr="001B7FBB">
        <w:rPr>
          <w:rFonts w:ascii="宋体" w:hAnsi="宋体"/>
          <w:szCs w:val="24"/>
        </w:rPr>
        <w:t>—</w:t>
      </w:r>
      <w:r w:rsidRPr="001B7FBB">
        <w:rPr>
          <w:rFonts w:ascii="宋体" w:hAnsi="宋体" w:hint="eastAsia"/>
          <w:szCs w:val="24"/>
        </w:rPr>
        <w:t>股票</w:t>
      </w:r>
      <w:proofErr w:type="gramEnd"/>
      <w:r w:rsidRPr="001B7FBB">
        <w:rPr>
          <w:rFonts w:ascii="宋体" w:hAnsi="宋体" w:hint="eastAsia"/>
          <w:szCs w:val="24"/>
        </w:rPr>
        <w:t>和债券</w:t>
      </w:r>
    </w:p>
    <w:p w14:paraId="4073E1C5" w14:textId="77777777" w:rsidR="001B7FBB" w:rsidRDefault="001B7FBB" w:rsidP="001B7FBB">
      <w:pPr>
        <w:ind w:firstLine="480"/>
        <w:jc w:val="left"/>
        <w:rPr>
          <w:rFonts w:ascii="宋体" w:hAnsi="宋体"/>
          <w:szCs w:val="24"/>
        </w:rPr>
      </w:pPr>
      <w:r>
        <w:rPr>
          <w:rFonts w:ascii="宋体" w:hAnsi="宋体" w:hint="eastAsia"/>
          <w:szCs w:val="24"/>
        </w:rPr>
        <w:t>一次质押</w:t>
      </w:r>
      <w:r w:rsidR="00AD73DF">
        <w:rPr>
          <w:rFonts w:ascii="宋体" w:hAnsi="宋体" w:hint="eastAsia"/>
          <w:szCs w:val="24"/>
        </w:rPr>
        <w:t>和完全质押</w:t>
      </w:r>
    </w:p>
    <w:p w14:paraId="38A91045" w14:textId="77777777" w:rsidR="001B7FBB" w:rsidRDefault="001B7FBB" w:rsidP="001B7FBB">
      <w:pPr>
        <w:ind w:firstLine="480"/>
        <w:jc w:val="left"/>
        <w:rPr>
          <w:rFonts w:ascii="宋体" w:hAnsi="宋体"/>
          <w:szCs w:val="24"/>
        </w:rPr>
      </w:pPr>
      <w:r>
        <w:rPr>
          <w:rFonts w:ascii="宋体" w:hAnsi="宋体" w:hint="eastAsia"/>
          <w:szCs w:val="24"/>
        </w:rPr>
        <w:t>阅读相关文献后，在增厚收益加杠杆的风险平价模型中，采用前一期债券</w:t>
      </w:r>
      <w:r w:rsidR="00AD73DF">
        <w:rPr>
          <w:rFonts w:ascii="宋体" w:hAnsi="宋体" w:hint="eastAsia"/>
          <w:szCs w:val="24"/>
        </w:rPr>
        <w:t>持仓按7</w:t>
      </w:r>
      <w:r w:rsidR="00AD73DF">
        <w:rPr>
          <w:rFonts w:ascii="宋体" w:hAnsi="宋体"/>
          <w:szCs w:val="24"/>
        </w:rPr>
        <w:t>0</w:t>
      </w:r>
      <w:r w:rsidR="00AD73DF">
        <w:rPr>
          <w:rFonts w:ascii="宋体" w:hAnsi="宋体" w:hint="eastAsia"/>
          <w:szCs w:val="24"/>
        </w:rPr>
        <w:t>%</w:t>
      </w:r>
      <w:r w:rsidR="00AD73DF">
        <w:rPr>
          <w:rStyle w:val="ad"/>
          <w:rFonts w:ascii="宋体" w:hAnsi="宋体"/>
          <w:szCs w:val="24"/>
        </w:rPr>
        <w:footnoteReference w:id="3"/>
      </w:r>
      <w:r w:rsidR="00AD73DF">
        <w:rPr>
          <w:rFonts w:ascii="宋体" w:hAnsi="宋体" w:hint="eastAsia"/>
          <w:szCs w:val="24"/>
        </w:rPr>
        <w:t>比例进行质押加杠杆。两种模式下分别可增加杠杆率：</w:t>
      </w:r>
    </w:p>
    <w:p w14:paraId="48E1E867" w14:textId="77777777" w:rsidR="00AD73DF" w:rsidRPr="00AD73DF" w:rsidRDefault="00AD4881" w:rsidP="001B7FBB">
      <w:pPr>
        <w:ind w:firstLine="440"/>
        <w:jc w:val="left"/>
        <w:rPr>
          <w:rFonts w:ascii="宋体" w:hAnsi="宋体"/>
          <w:sz w:val="22"/>
        </w:rPr>
      </w:pPr>
      <m:oMathPara>
        <m:oMathParaPr>
          <m:jc m:val="left"/>
        </m:oMathParaPr>
        <m:oMath>
          <m:sSub>
            <m:sSubPr>
              <m:ctrlPr>
                <w:rPr>
                  <w:rFonts w:ascii="Cambria Math" w:hAnsi="Cambria Math"/>
                  <w:i/>
                  <w:sz w:val="22"/>
                </w:rPr>
              </m:ctrlPr>
            </m:sSubPr>
            <m:e>
              <m:r>
                <w:rPr>
                  <w:rFonts w:ascii="Cambria Math" w:hAnsi="Cambria Math"/>
                  <w:sz w:val="22"/>
                </w:rPr>
                <m:t xml:space="preserve">           L</m:t>
              </m:r>
            </m:e>
            <m:sub>
              <m:r>
                <w:rPr>
                  <w:rFonts w:ascii="Cambria Math" w:hAnsi="Cambria Math" w:hint="eastAsia"/>
                  <w:sz w:val="22"/>
                </w:rPr>
                <m:t>t</m:t>
              </m:r>
            </m:sub>
          </m:sSub>
          <m:r>
            <w:rPr>
              <w:rFonts w:ascii="Cambria Math" w:hAnsi="Cambria Math"/>
              <w:sz w:val="22"/>
            </w:rPr>
            <m:t>=70%×</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b</m:t>
              </m:r>
            </m:sub>
            <m:sup>
              <m:r>
                <w:rPr>
                  <w:rFonts w:ascii="Cambria Math" w:hAnsi="Cambria Math"/>
                  <w:sz w:val="22"/>
                </w:rPr>
                <m:t>t-1</m:t>
              </m:r>
            </m:sup>
          </m:sSubSup>
        </m:oMath>
      </m:oMathPara>
    </w:p>
    <w:p w14:paraId="1D9DA03F" w14:textId="77777777" w:rsidR="00AD73DF" w:rsidRPr="00AD73DF" w:rsidRDefault="00AD4881" w:rsidP="001B7FBB">
      <w:pPr>
        <w:ind w:firstLine="440"/>
        <w:jc w:val="left"/>
        <w:rPr>
          <w:rFonts w:ascii="宋体" w:hAnsi="宋体"/>
          <w:sz w:val="22"/>
        </w:rPr>
      </w:pPr>
      <m:oMathPara>
        <m:oMathParaPr>
          <m:jc m:val="left"/>
        </m:oMathParaPr>
        <m:oMath>
          <m:sSub>
            <m:sSubPr>
              <m:ctrlPr>
                <w:rPr>
                  <w:rFonts w:ascii="Cambria Math" w:hAnsi="Cambria Math"/>
                  <w:sz w:val="22"/>
                </w:rPr>
              </m:ctrlPr>
            </m:sSubPr>
            <m:e>
              <m:r>
                <w:rPr>
                  <w:rFonts w:ascii="Cambria Math" w:hAnsi="Cambria Math"/>
                  <w:sz w:val="22"/>
                </w:rPr>
                <m:t xml:space="preserve">           L</m:t>
              </m:r>
            </m:e>
            <m:sub>
              <m:r>
                <w:rPr>
                  <w:rFonts w:ascii="Cambria Math" w:hAnsi="Cambria Math" w:hint="eastAsia"/>
                  <w:sz w:val="22"/>
                </w:rPr>
                <m:t>t</m:t>
              </m:r>
            </m:sub>
          </m:sSub>
          <m:r>
            <w:rPr>
              <w:rFonts w:ascii="Cambria Math" w:hAnsi="Cambria Math"/>
              <w:sz w:val="22"/>
            </w:rPr>
            <m:t>=70%×</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b</m:t>
              </m:r>
            </m:sub>
            <m:sup>
              <m:r>
                <w:rPr>
                  <w:rFonts w:ascii="Cambria Math" w:hAnsi="Cambria Math"/>
                  <w:sz w:val="22"/>
                </w:rPr>
                <m:t>t-1</m:t>
              </m:r>
            </m:sup>
          </m:sSubSup>
          <m:r>
            <w:rPr>
              <w:rFonts w:ascii="Cambria Math" w:hAnsi="Cambria Math"/>
              <w:sz w:val="22"/>
            </w:rPr>
            <m:t>/(1-70%×</m:t>
          </m:r>
          <m:sSubSup>
            <m:sSubSupPr>
              <m:ctrlPr>
                <w:rPr>
                  <w:rFonts w:ascii="Cambria Math" w:hAnsi="Cambria Math"/>
                  <w:i/>
                  <w:sz w:val="22"/>
                </w:rPr>
              </m:ctrlPr>
            </m:sSubSupPr>
            <m:e>
              <m:r>
                <w:rPr>
                  <w:rFonts w:ascii="Cambria Math" w:hAnsi="Cambria Math"/>
                  <w:sz w:val="22"/>
                </w:rPr>
                <m:t>w</m:t>
              </m:r>
            </m:e>
            <m:sub>
              <m:r>
                <w:rPr>
                  <w:rFonts w:ascii="Cambria Math" w:hAnsi="Cambria Math"/>
                  <w:sz w:val="22"/>
                </w:rPr>
                <m:t>b</m:t>
              </m:r>
            </m:sub>
            <m:sup>
              <m:r>
                <w:rPr>
                  <w:rFonts w:ascii="Cambria Math" w:hAnsi="Cambria Math"/>
                  <w:sz w:val="22"/>
                </w:rPr>
                <m:t>t-1</m:t>
              </m:r>
            </m:sup>
          </m:sSubSup>
          <m:r>
            <w:rPr>
              <w:rFonts w:ascii="Cambria Math" w:hAnsi="Cambria Math"/>
              <w:sz w:val="22"/>
            </w:rPr>
            <m:t>)</m:t>
          </m:r>
        </m:oMath>
      </m:oMathPara>
    </w:p>
    <w:p w14:paraId="431948C9" w14:textId="77777777" w:rsidR="00AD73DF" w:rsidRDefault="00280EDD" w:rsidP="00280EDD">
      <w:pPr>
        <w:ind w:firstLine="440"/>
        <w:jc w:val="left"/>
        <w:rPr>
          <w:rFonts w:ascii="宋体" w:hAnsi="宋体"/>
          <w:sz w:val="22"/>
        </w:rPr>
      </w:pPr>
      <w:r>
        <w:rPr>
          <w:rFonts w:ascii="宋体" w:hAnsi="宋体" w:hint="eastAsia"/>
          <w:sz w:val="22"/>
        </w:rPr>
        <w:t>（4）股</w:t>
      </w:r>
      <w:proofErr w:type="gramStart"/>
      <w:r>
        <w:rPr>
          <w:rFonts w:ascii="宋体" w:hAnsi="宋体" w:hint="eastAsia"/>
          <w:sz w:val="22"/>
        </w:rPr>
        <w:t>债</w:t>
      </w:r>
      <w:r w:rsidR="00485ED3">
        <w:rPr>
          <w:rFonts w:ascii="宋体" w:hAnsi="宋体" w:hint="eastAsia"/>
          <w:sz w:val="22"/>
        </w:rPr>
        <w:t>结果</w:t>
      </w:r>
      <w:proofErr w:type="gramEnd"/>
      <w:r>
        <w:rPr>
          <w:rFonts w:ascii="宋体" w:hAnsi="宋体" w:hint="eastAsia"/>
          <w:sz w:val="22"/>
        </w:rPr>
        <w:t>分析</w:t>
      </w:r>
    </w:p>
    <w:tbl>
      <w:tblPr>
        <w:tblW w:w="8080" w:type="dxa"/>
        <w:tblLook w:val="04A0" w:firstRow="1" w:lastRow="0" w:firstColumn="1" w:lastColumn="0" w:noHBand="0" w:noVBand="1"/>
      </w:tblPr>
      <w:tblGrid>
        <w:gridCol w:w="1134"/>
        <w:gridCol w:w="1090"/>
        <w:gridCol w:w="1275"/>
        <w:gridCol w:w="1701"/>
        <w:gridCol w:w="1276"/>
        <w:gridCol w:w="1701"/>
      </w:tblGrid>
      <w:tr w:rsidR="00606C8F" w:rsidRPr="00280EDD" w14:paraId="07385680" w14:textId="77777777" w:rsidTr="00280EDD">
        <w:trPr>
          <w:trHeight w:val="276"/>
        </w:trPr>
        <w:tc>
          <w:tcPr>
            <w:tcW w:w="1134" w:type="dxa"/>
            <w:tcBorders>
              <w:top w:val="single" w:sz="4" w:space="0" w:color="auto"/>
              <w:left w:val="nil"/>
              <w:bottom w:val="single" w:sz="4" w:space="0" w:color="auto"/>
              <w:right w:val="nil"/>
            </w:tcBorders>
            <w:shd w:val="clear" w:color="auto" w:fill="auto"/>
            <w:noWrap/>
            <w:vAlign w:val="center"/>
            <w:hideMark/>
          </w:tcPr>
          <w:p w14:paraId="3C0A0DD4" w14:textId="77777777" w:rsidR="00606C8F" w:rsidRPr="00280EDD" w:rsidRDefault="00606C8F">
            <w:pPr>
              <w:widowControl/>
              <w:ind w:firstLine="360"/>
              <w:jc w:val="center"/>
              <w:rPr>
                <w:rFonts w:ascii="等线" w:eastAsia="等线" w:hAnsi="等线"/>
                <w:color w:val="000000"/>
                <w:sz w:val="18"/>
              </w:rPr>
            </w:pPr>
            <w:r w:rsidRPr="00280EDD">
              <w:rPr>
                <w:rFonts w:ascii="等线" w:eastAsia="等线" w:hAnsi="等线" w:hint="eastAsia"/>
                <w:color w:val="000000"/>
                <w:sz w:val="18"/>
              </w:rPr>
              <w:t>指标</w:t>
            </w:r>
          </w:p>
        </w:tc>
        <w:tc>
          <w:tcPr>
            <w:tcW w:w="993" w:type="dxa"/>
            <w:tcBorders>
              <w:top w:val="single" w:sz="4" w:space="0" w:color="auto"/>
              <w:left w:val="nil"/>
              <w:bottom w:val="single" w:sz="4" w:space="0" w:color="auto"/>
              <w:right w:val="nil"/>
            </w:tcBorders>
            <w:shd w:val="clear" w:color="auto" w:fill="auto"/>
            <w:noWrap/>
            <w:vAlign w:val="center"/>
            <w:hideMark/>
          </w:tcPr>
          <w:p w14:paraId="68C14A71" w14:textId="77777777" w:rsidR="00606C8F" w:rsidRPr="00280EDD" w:rsidRDefault="00606C8F">
            <w:pPr>
              <w:ind w:firstLine="360"/>
              <w:jc w:val="center"/>
              <w:rPr>
                <w:rFonts w:ascii="等线" w:eastAsia="等线" w:hAnsi="等线"/>
                <w:color w:val="000000"/>
                <w:sz w:val="18"/>
              </w:rPr>
            </w:pPr>
            <w:proofErr w:type="gramStart"/>
            <w:r w:rsidRPr="00280EDD">
              <w:rPr>
                <w:rFonts w:ascii="等线" w:eastAsia="等线" w:hAnsi="等线" w:hint="eastAsia"/>
                <w:color w:val="000000"/>
                <w:sz w:val="18"/>
              </w:rPr>
              <w:t>纯股</w:t>
            </w:r>
            <w:proofErr w:type="gramEnd"/>
          </w:p>
        </w:tc>
        <w:tc>
          <w:tcPr>
            <w:tcW w:w="1275" w:type="dxa"/>
            <w:tcBorders>
              <w:top w:val="single" w:sz="4" w:space="0" w:color="auto"/>
              <w:left w:val="nil"/>
              <w:bottom w:val="single" w:sz="4" w:space="0" w:color="auto"/>
              <w:right w:val="nil"/>
            </w:tcBorders>
            <w:shd w:val="clear" w:color="auto" w:fill="auto"/>
            <w:noWrap/>
            <w:vAlign w:val="center"/>
            <w:hideMark/>
          </w:tcPr>
          <w:p w14:paraId="5A51B561"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股债6：4</w:t>
            </w:r>
          </w:p>
        </w:tc>
        <w:tc>
          <w:tcPr>
            <w:tcW w:w="1701" w:type="dxa"/>
            <w:tcBorders>
              <w:top w:val="single" w:sz="4" w:space="0" w:color="auto"/>
              <w:left w:val="nil"/>
              <w:bottom w:val="single" w:sz="4" w:space="0" w:color="auto"/>
              <w:right w:val="nil"/>
            </w:tcBorders>
            <w:shd w:val="clear" w:color="auto" w:fill="auto"/>
            <w:noWrap/>
            <w:vAlign w:val="center"/>
            <w:hideMark/>
          </w:tcPr>
          <w:p w14:paraId="0BA82C66"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股</w:t>
            </w:r>
            <w:proofErr w:type="gramStart"/>
            <w:r w:rsidRPr="00280EDD">
              <w:rPr>
                <w:rFonts w:ascii="等线" w:eastAsia="等线" w:hAnsi="等线" w:hint="eastAsia"/>
                <w:color w:val="000000"/>
                <w:sz w:val="18"/>
              </w:rPr>
              <w:t>债风险</w:t>
            </w:r>
            <w:proofErr w:type="gramEnd"/>
            <w:r w:rsidRPr="00280EDD">
              <w:rPr>
                <w:rFonts w:ascii="等线" w:eastAsia="等线" w:hAnsi="等线" w:hint="eastAsia"/>
                <w:color w:val="000000"/>
                <w:sz w:val="18"/>
              </w:rPr>
              <w:t>平价</w:t>
            </w:r>
          </w:p>
        </w:tc>
        <w:tc>
          <w:tcPr>
            <w:tcW w:w="1276" w:type="dxa"/>
            <w:tcBorders>
              <w:top w:val="single" w:sz="4" w:space="0" w:color="auto"/>
              <w:left w:val="nil"/>
              <w:bottom w:val="single" w:sz="4" w:space="0" w:color="auto"/>
              <w:right w:val="nil"/>
            </w:tcBorders>
            <w:shd w:val="clear" w:color="auto" w:fill="auto"/>
            <w:noWrap/>
            <w:vAlign w:val="center"/>
            <w:hideMark/>
          </w:tcPr>
          <w:p w14:paraId="4DBBF695"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一次质押</w:t>
            </w:r>
          </w:p>
        </w:tc>
        <w:tc>
          <w:tcPr>
            <w:tcW w:w="1701" w:type="dxa"/>
            <w:tcBorders>
              <w:top w:val="single" w:sz="4" w:space="0" w:color="auto"/>
              <w:left w:val="nil"/>
              <w:bottom w:val="single" w:sz="4" w:space="0" w:color="auto"/>
              <w:right w:val="nil"/>
            </w:tcBorders>
            <w:shd w:val="clear" w:color="auto" w:fill="auto"/>
            <w:noWrap/>
            <w:vAlign w:val="center"/>
            <w:hideMark/>
          </w:tcPr>
          <w:p w14:paraId="3EEF8E71"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完全质押</w:t>
            </w:r>
          </w:p>
        </w:tc>
      </w:tr>
      <w:tr w:rsidR="00606C8F" w:rsidRPr="00280EDD" w14:paraId="6445F47B" w14:textId="77777777" w:rsidTr="00280EDD">
        <w:trPr>
          <w:trHeight w:val="276"/>
        </w:trPr>
        <w:tc>
          <w:tcPr>
            <w:tcW w:w="1134" w:type="dxa"/>
            <w:tcBorders>
              <w:top w:val="nil"/>
              <w:left w:val="nil"/>
              <w:bottom w:val="nil"/>
              <w:right w:val="nil"/>
            </w:tcBorders>
            <w:shd w:val="clear" w:color="auto" w:fill="auto"/>
            <w:noWrap/>
            <w:vAlign w:val="center"/>
            <w:hideMark/>
          </w:tcPr>
          <w:p w14:paraId="175B30FD"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收益率</w:t>
            </w:r>
          </w:p>
        </w:tc>
        <w:tc>
          <w:tcPr>
            <w:tcW w:w="993" w:type="dxa"/>
            <w:tcBorders>
              <w:top w:val="nil"/>
              <w:left w:val="nil"/>
              <w:bottom w:val="nil"/>
              <w:right w:val="nil"/>
            </w:tcBorders>
            <w:shd w:val="clear" w:color="auto" w:fill="auto"/>
            <w:noWrap/>
            <w:vAlign w:val="center"/>
            <w:hideMark/>
          </w:tcPr>
          <w:p w14:paraId="20730E23"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0.0025 </w:t>
            </w:r>
          </w:p>
        </w:tc>
        <w:tc>
          <w:tcPr>
            <w:tcW w:w="1275" w:type="dxa"/>
            <w:tcBorders>
              <w:top w:val="nil"/>
              <w:left w:val="nil"/>
              <w:bottom w:val="nil"/>
              <w:right w:val="nil"/>
            </w:tcBorders>
            <w:shd w:val="clear" w:color="auto" w:fill="auto"/>
            <w:noWrap/>
            <w:vAlign w:val="center"/>
            <w:hideMark/>
          </w:tcPr>
          <w:p w14:paraId="78F21F57"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0.0018 </w:t>
            </w:r>
          </w:p>
        </w:tc>
        <w:tc>
          <w:tcPr>
            <w:tcW w:w="1701" w:type="dxa"/>
            <w:tcBorders>
              <w:top w:val="nil"/>
              <w:left w:val="nil"/>
              <w:bottom w:val="nil"/>
              <w:right w:val="nil"/>
            </w:tcBorders>
            <w:shd w:val="clear" w:color="auto" w:fill="auto"/>
            <w:noWrap/>
            <w:vAlign w:val="center"/>
            <w:hideMark/>
          </w:tcPr>
          <w:p w14:paraId="7BA94982"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0.0008 </w:t>
            </w:r>
          </w:p>
        </w:tc>
        <w:tc>
          <w:tcPr>
            <w:tcW w:w="1276" w:type="dxa"/>
            <w:tcBorders>
              <w:top w:val="nil"/>
              <w:left w:val="nil"/>
              <w:bottom w:val="nil"/>
              <w:right w:val="nil"/>
            </w:tcBorders>
            <w:shd w:val="clear" w:color="auto" w:fill="auto"/>
            <w:noWrap/>
            <w:vAlign w:val="center"/>
            <w:hideMark/>
          </w:tcPr>
          <w:p w14:paraId="2875F8A3"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0.0013 </w:t>
            </w:r>
          </w:p>
        </w:tc>
        <w:tc>
          <w:tcPr>
            <w:tcW w:w="1701" w:type="dxa"/>
            <w:tcBorders>
              <w:top w:val="nil"/>
              <w:left w:val="nil"/>
              <w:bottom w:val="nil"/>
              <w:right w:val="nil"/>
            </w:tcBorders>
            <w:shd w:val="clear" w:color="auto" w:fill="auto"/>
            <w:noWrap/>
            <w:vAlign w:val="center"/>
            <w:hideMark/>
          </w:tcPr>
          <w:p w14:paraId="50D05B28"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0.0019 </w:t>
            </w:r>
          </w:p>
        </w:tc>
      </w:tr>
      <w:tr w:rsidR="00606C8F" w:rsidRPr="00280EDD" w14:paraId="5C49AEBE" w14:textId="77777777" w:rsidTr="00280EDD">
        <w:trPr>
          <w:trHeight w:val="276"/>
        </w:trPr>
        <w:tc>
          <w:tcPr>
            <w:tcW w:w="1134" w:type="dxa"/>
            <w:tcBorders>
              <w:top w:val="nil"/>
              <w:left w:val="nil"/>
              <w:bottom w:val="nil"/>
              <w:right w:val="nil"/>
            </w:tcBorders>
            <w:shd w:val="clear" w:color="auto" w:fill="auto"/>
            <w:noWrap/>
            <w:vAlign w:val="center"/>
            <w:hideMark/>
          </w:tcPr>
          <w:p w14:paraId="6AC1028D"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波动率</w:t>
            </w:r>
          </w:p>
        </w:tc>
        <w:tc>
          <w:tcPr>
            <w:tcW w:w="993" w:type="dxa"/>
            <w:tcBorders>
              <w:top w:val="nil"/>
              <w:left w:val="nil"/>
              <w:bottom w:val="nil"/>
              <w:right w:val="nil"/>
            </w:tcBorders>
            <w:shd w:val="clear" w:color="auto" w:fill="auto"/>
            <w:noWrap/>
            <w:vAlign w:val="center"/>
            <w:hideMark/>
          </w:tcPr>
          <w:p w14:paraId="098BBC55"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0.0331 </w:t>
            </w:r>
          </w:p>
        </w:tc>
        <w:tc>
          <w:tcPr>
            <w:tcW w:w="1275" w:type="dxa"/>
            <w:tcBorders>
              <w:top w:val="nil"/>
              <w:left w:val="nil"/>
              <w:bottom w:val="nil"/>
              <w:right w:val="nil"/>
            </w:tcBorders>
            <w:shd w:val="clear" w:color="auto" w:fill="auto"/>
            <w:noWrap/>
            <w:vAlign w:val="center"/>
            <w:hideMark/>
          </w:tcPr>
          <w:p w14:paraId="50C4CBF0"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0.0198 </w:t>
            </w:r>
          </w:p>
        </w:tc>
        <w:tc>
          <w:tcPr>
            <w:tcW w:w="1701" w:type="dxa"/>
            <w:tcBorders>
              <w:top w:val="nil"/>
              <w:left w:val="nil"/>
              <w:bottom w:val="nil"/>
              <w:right w:val="nil"/>
            </w:tcBorders>
            <w:shd w:val="clear" w:color="auto" w:fill="auto"/>
            <w:noWrap/>
            <w:vAlign w:val="center"/>
            <w:hideMark/>
          </w:tcPr>
          <w:p w14:paraId="28D0A5D5"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0.0028 </w:t>
            </w:r>
          </w:p>
        </w:tc>
        <w:tc>
          <w:tcPr>
            <w:tcW w:w="1276" w:type="dxa"/>
            <w:tcBorders>
              <w:top w:val="nil"/>
              <w:left w:val="nil"/>
              <w:bottom w:val="nil"/>
              <w:right w:val="nil"/>
            </w:tcBorders>
            <w:shd w:val="clear" w:color="auto" w:fill="auto"/>
            <w:noWrap/>
            <w:vAlign w:val="center"/>
            <w:hideMark/>
          </w:tcPr>
          <w:p w14:paraId="6776A894"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0.0113 </w:t>
            </w:r>
          </w:p>
        </w:tc>
        <w:tc>
          <w:tcPr>
            <w:tcW w:w="1701" w:type="dxa"/>
            <w:tcBorders>
              <w:top w:val="nil"/>
              <w:left w:val="nil"/>
              <w:bottom w:val="nil"/>
              <w:right w:val="nil"/>
            </w:tcBorders>
            <w:shd w:val="clear" w:color="auto" w:fill="auto"/>
            <w:noWrap/>
            <w:vAlign w:val="center"/>
            <w:hideMark/>
          </w:tcPr>
          <w:p w14:paraId="4E2E2B8D"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0.0195 </w:t>
            </w:r>
          </w:p>
        </w:tc>
      </w:tr>
      <w:tr w:rsidR="00606C8F" w:rsidRPr="00280EDD" w14:paraId="15B19963" w14:textId="77777777" w:rsidTr="00280EDD">
        <w:trPr>
          <w:trHeight w:val="276"/>
        </w:trPr>
        <w:tc>
          <w:tcPr>
            <w:tcW w:w="1134" w:type="dxa"/>
            <w:tcBorders>
              <w:top w:val="nil"/>
              <w:left w:val="nil"/>
              <w:bottom w:val="single" w:sz="4" w:space="0" w:color="auto"/>
              <w:right w:val="nil"/>
            </w:tcBorders>
            <w:shd w:val="clear" w:color="auto" w:fill="auto"/>
            <w:noWrap/>
            <w:vAlign w:val="center"/>
            <w:hideMark/>
          </w:tcPr>
          <w:p w14:paraId="11C185CB"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夏普比率</w:t>
            </w:r>
          </w:p>
        </w:tc>
        <w:tc>
          <w:tcPr>
            <w:tcW w:w="993" w:type="dxa"/>
            <w:tcBorders>
              <w:top w:val="nil"/>
              <w:left w:val="nil"/>
              <w:bottom w:val="single" w:sz="4" w:space="0" w:color="auto"/>
              <w:right w:val="nil"/>
            </w:tcBorders>
            <w:shd w:val="clear" w:color="auto" w:fill="auto"/>
            <w:noWrap/>
            <w:vAlign w:val="center"/>
            <w:hideMark/>
          </w:tcPr>
          <w:p w14:paraId="48367D42"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0.0559 </w:t>
            </w:r>
          </w:p>
        </w:tc>
        <w:tc>
          <w:tcPr>
            <w:tcW w:w="1275" w:type="dxa"/>
            <w:tcBorders>
              <w:top w:val="nil"/>
              <w:left w:val="nil"/>
              <w:bottom w:val="single" w:sz="4" w:space="0" w:color="auto"/>
              <w:right w:val="nil"/>
            </w:tcBorders>
            <w:shd w:val="clear" w:color="auto" w:fill="auto"/>
            <w:noWrap/>
            <w:vAlign w:val="center"/>
            <w:hideMark/>
          </w:tcPr>
          <w:p w14:paraId="6D7035E0"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0.0556 </w:t>
            </w:r>
          </w:p>
        </w:tc>
        <w:tc>
          <w:tcPr>
            <w:tcW w:w="1701" w:type="dxa"/>
            <w:tcBorders>
              <w:top w:val="nil"/>
              <w:left w:val="nil"/>
              <w:bottom w:val="single" w:sz="4" w:space="0" w:color="auto"/>
              <w:right w:val="nil"/>
            </w:tcBorders>
            <w:shd w:val="clear" w:color="auto" w:fill="auto"/>
            <w:noWrap/>
            <w:vAlign w:val="center"/>
            <w:hideMark/>
          </w:tcPr>
          <w:p w14:paraId="04CFB79B"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0.3163 </w:t>
            </w:r>
          </w:p>
        </w:tc>
        <w:tc>
          <w:tcPr>
            <w:tcW w:w="1276" w:type="dxa"/>
            <w:tcBorders>
              <w:top w:val="nil"/>
              <w:left w:val="nil"/>
              <w:bottom w:val="single" w:sz="4" w:space="0" w:color="auto"/>
              <w:right w:val="nil"/>
            </w:tcBorders>
            <w:shd w:val="clear" w:color="auto" w:fill="auto"/>
            <w:noWrap/>
            <w:vAlign w:val="center"/>
            <w:hideMark/>
          </w:tcPr>
          <w:p w14:paraId="2FC37812"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0.5460 </w:t>
            </w:r>
          </w:p>
        </w:tc>
        <w:tc>
          <w:tcPr>
            <w:tcW w:w="1701" w:type="dxa"/>
            <w:tcBorders>
              <w:top w:val="nil"/>
              <w:left w:val="nil"/>
              <w:bottom w:val="single" w:sz="4" w:space="0" w:color="auto"/>
              <w:right w:val="nil"/>
            </w:tcBorders>
            <w:shd w:val="clear" w:color="auto" w:fill="auto"/>
            <w:noWrap/>
            <w:vAlign w:val="center"/>
            <w:hideMark/>
          </w:tcPr>
          <w:p w14:paraId="78E21E4E" w14:textId="77777777" w:rsidR="00606C8F" w:rsidRPr="00280EDD" w:rsidRDefault="00606C8F">
            <w:pPr>
              <w:ind w:firstLine="360"/>
              <w:jc w:val="center"/>
              <w:rPr>
                <w:rFonts w:ascii="等线" w:eastAsia="等线" w:hAnsi="等线"/>
                <w:color w:val="000000"/>
                <w:sz w:val="18"/>
              </w:rPr>
            </w:pPr>
            <w:r w:rsidRPr="00280EDD">
              <w:rPr>
                <w:rFonts w:ascii="等线" w:eastAsia="等线" w:hAnsi="等线" w:hint="eastAsia"/>
                <w:color w:val="000000"/>
                <w:sz w:val="18"/>
              </w:rPr>
              <w:t xml:space="preserve">0.6318 </w:t>
            </w:r>
          </w:p>
        </w:tc>
      </w:tr>
    </w:tbl>
    <w:p w14:paraId="595638F7" w14:textId="77777777" w:rsidR="00960469" w:rsidRDefault="00960469" w:rsidP="00960469">
      <w:pPr>
        <w:pStyle w:val="a3"/>
        <w:ind w:firstLine="400"/>
        <w:jc w:val="center"/>
        <w:rPr>
          <w:rFonts w:ascii="宋体" w:eastAsia="宋体" w:hAnsi="宋体"/>
          <w:color w:val="FF0000"/>
        </w:rPr>
      </w:pPr>
      <w:r w:rsidRPr="0045208F">
        <w:rPr>
          <w:rFonts w:ascii="宋体" w:eastAsia="宋体" w:hAnsi="宋体"/>
          <w:color w:val="FF0000"/>
        </w:rPr>
        <w:t>表格</w:t>
      </w:r>
      <w:r>
        <w:rPr>
          <w:rFonts w:ascii="宋体" w:eastAsia="宋体" w:hAnsi="宋体"/>
          <w:color w:val="FF0000"/>
        </w:rPr>
        <w:t>7</w:t>
      </w:r>
      <w:r>
        <w:rPr>
          <w:rFonts w:ascii="宋体" w:eastAsia="宋体" w:hAnsi="宋体" w:hint="eastAsia"/>
          <w:color w:val="FF0000"/>
        </w:rPr>
        <w:t>股</w:t>
      </w:r>
      <w:proofErr w:type="gramStart"/>
      <w:r>
        <w:rPr>
          <w:rFonts w:ascii="宋体" w:eastAsia="宋体" w:hAnsi="宋体" w:hint="eastAsia"/>
          <w:color w:val="FF0000"/>
        </w:rPr>
        <w:t>债风险</w:t>
      </w:r>
      <w:proofErr w:type="gramEnd"/>
      <w:r>
        <w:rPr>
          <w:rFonts w:ascii="宋体" w:eastAsia="宋体" w:hAnsi="宋体" w:hint="eastAsia"/>
          <w:color w:val="FF0000"/>
        </w:rPr>
        <w:t>平价和杠杆风险平价与其</w:t>
      </w:r>
      <w:proofErr w:type="gramStart"/>
      <w:r>
        <w:rPr>
          <w:rFonts w:ascii="宋体" w:eastAsia="宋体" w:hAnsi="宋体" w:hint="eastAsia"/>
          <w:color w:val="FF0000"/>
        </w:rPr>
        <w:t>他指数</w:t>
      </w:r>
      <w:proofErr w:type="gramEnd"/>
      <w:r>
        <w:rPr>
          <w:rFonts w:ascii="宋体" w:eastAsia="宋体" w:hAnsi="宋体" w:hint="eastAsia"/>
          <w:color w:val="FF0000"/>
        </w:rPr>
        <w:t>的各项比较</w:t>
      </w:r>
    </w:p>
    <w:p w14:paraId="5BD438F1" w14:textId="77777777" w:rsidR="00485ED3" w:rsidRPr="00A04584" w:rsidRDefault="00960469" w:rsidP="00A04584">
      <w:pPr>
        <w:ind w:firstLine="480"/>
        <w:jc w:val="left"/>
        <w:rPr>
          <w:rFonts w:ascii="宋体" w:hAnsi="宋体"/>
          <w:szCs w:val="24"/>
        </w:rPr>
      </w:pPr>
      <w:r w:rsidRPr="00A04584">
        <w:rPr>
          <w:rFonts w:ascii="宋体" w:hAnsi="宋体" w:hint="eastAsia"/>
          <w:szCs w:val="24"/>
        </w:rPr>
        <w:t>由上表可知：</w:t>
      </w:r>
    </w:p>
    <w:p w14:paraId="77994DE3" w14:textId="77777777" w:rsidR="00960469" w:rsidRPr="00A04584" w:rsidRDefault="00280EDD" w:rsidP="00A04584">
      <w:pPr>
        <w:pStyle w:val="a6"/>
        <w:numPr>
          <w:ilvl w:val="0"/>
          <w:numId w:val="5"/>
        </w:numPr>
        <w:ind w:left="0" w:firstLine="480"/>
        <w:jc w:val="left"/>
        <w:rPr>
          <w:rFonts w:ascii="宋体" w:hAnsi="宋体"/>
          <w:szCs w:val="24"/>
        </w:rPr>
      </w:pPr>
      <w:r w:rsidRPr="00A04584">
        <w:rPr>
          <w:rFonts w:ascii="宋体" w:hAnsi="宋体" w:hint="eastAsia"/>
          <w:szCs w:val="24"/>
        </w:rPr>
        <w:t>股债组合的简单风险平价模型中，收益率低于</w:t>
      </w:r>
      <w:proofErr w:type="gramStart"/>
      <w:r w:rsidRPr="00A04584">
        <w:rPr>
          <w:rFonts w:ascii="宋体" w:hAnsi="宋体" w:hint="eastAsia"/>
          <w:szCs w:val="24"/>
        </w:rPr>
        <w:t>纯股组合</w:t>
      </w:r>
      <w:proofErr w:type="gramEnd"/>
      <w:r w:rsidRPr="00A04584">
        <w:rPr>
          <w:rFonts w:ascii="宋体" w:hAnsi="宋体" w:hint="eastAsia"/>
          <w:szCs w:val="24"/>
        </w:rPr>
        <w:t>，但是可以</w:t>
      </w:r>
      <w:r w:rsidR="008D1CDE" w:rsidRPr="00A04584">
        <w:rPr>
          <w:rFonts w:ascii="宋体" w:hAnsi="宋体" w:hint="eastAsia"/>
          <w:szCs w:val="24"/>
        </w:rPr>
        <w:t>很大程度地降低波动率，降低了投资的风险，扩大了夏普比率。这意味着风险平价模型虽然可能在一定程度上降低收益率，但是承担的风险远远低于股票资产类别，并且夏普比率能达到</w:t>
      </w:r>
      <w:proofErr w:type="gramStart"/>
      <w:r w:rsidR="008D1CDE" w:rsidRPr="00A04584">
        <w:rPr>
          <w:rFonts w:ascii="宋体" w:hAnsi="宋体" w:hint="eastAsia"/>
          <w:szCs w:val="24"/>
        </w:rPr>
        <w:t>纯股组合</w:t>
      </w:r>
      <w:proofErr w:type="gramEnd"/>
      <w:r w:rsidR="008D1CDE" w:rsidRPr="00A04584">
        <w:rPr>
          <w:rFonts w:ascii="宋体" w:hAnsi="宋体" w:hint="eastAsia"/>
          <w:szCs w:val="24"/>
        </w:rPr>
        <w:t>的近6倍。</w:t>
      </w:r>
    </w:p>
    <w:p w14:paraId="4F4E0396" w14:textId="77777777" w:rsidR="008D1CDE" w:rsidRPr="00A04584" w:rsidRDefault="008D1CDE" w:rsidP="00A04584">
      <w:pPr>
        <w:pStyle w:val="a6"/>
        <w:numPr>
          <w:ilvl w:val="0"/>
          <w:numId w:val="5"/>
        </w:numPr>
        <w:ind w:left="0" w:firstLine="480"/>
        <w:jc w:val="left"/>
        <w:rPr>
          <w:rFonts w:ascii="宋体" w:hAnsi="宋体"/>
          <w:szCs w:val="24"/>
        </w:rPr>
      </w:pPr>
      <w:r w:rsidRPr="00A04584">
        <w:rPr>
          <w:rFonts w:ascii="宋体" w:hAnsi="宋体" w:hint="eastAsia"/>
          <w:szCs w:val="24"/>
        </w:rPr>
        <w:t>股债平价模型与股债6：4相比，收益率大致相同，但在波动率和夏普比率方面明显占优势。</w:t>
      </w:r>
    </w:p>
    <w:p w14:paraId="7EEC70B9" w14:textId="77777777" w:rsidR="008D1CDE" w:rsidRPr="00960469" w:rsidRDefault="008D1CDE" w:rsidP="00A04584">
      <w:pPr>
        <w:pStyle w:val="a6"/>
        <w:numPr>
          <w:ilvl w:val="0"/>
          <w:numId w:val="5"/>
        </w:numPr>
        <w:ind w:left="0" w:firstLine="480"/>
        <w:jc w:val="left"/>
        <w:rPr>
          <w:rFonts w:ascii="宋体" w:hAnsi="宋体"/>
          <w:sz w:val="22"/>
        </w:rPr>
      </w:pPr>
      <w:r w:rsidRPr="00A04584">
        <w:rPr>
          <w:rFonts w:ascii="宋体" w:hAnsi="宋体" w:hint="eastAsia"/>
          <w:szCs w:val="24"/>
        </w:rPr>
        <w:t>通过债券头寸加杠杆，可使收益率较简单风险平价水平基础上逐渐上升，虽然会同时</w:t>
      </w:r>
      <w:r w:rsidR="00BB52EE" w:rsidRPr="00A04584">
        <w:rPr>
          <w:rFonts w:ascii="宋体" w:hAnsi="宋体" w:hint="eastAsia"/>
          <w:szCs w:val="24"/>
        </w:rPr>
        <w:t>引起波动率的上升，使得投资组合的风险水平上升，但是总体的风险水平仍</w:t>
      </w:r>
      <w:proofErr w:type="gramStart"/>
      <w:r w:rsidR="00BB52EE" w:rsidRPr="00A04584">
        <w:rPr>
          <w:rFonts w:ascii="宋体" w:hAnsi="宋体" w:hint="eastAsia"/>
          <w:szCs w:val="24"/>
        </w:rPr>
        <w:t>低于纯股和</w:t>
      </w:r>
      <w:proofErr w:type="gramEnd"/>
      <w:r w:rsidR="00BB52EE" w:rsidRPr="00A04584">
        <w:rPr>
          <w:rFonts w:ascii="宋体" w:hAnsi="宋体" w:hint="eastAsia"/>
          <w:szCs w:val="24"/>
        </w:rPr>
        <w:t>股债6：4的情况。此外，夏普比率也会随着杠杆率的增加而增大。总体上，通过杠杆风险平价模型，不仅能适当地提高收益率满足投者，也能提高投资组合的整体收益风险比。</w:t>
      </w:r>
    </w:p>
    <w:p w14:paraId="4FAD643D" w14:textId="77777777" w:rsidR="001B7FBB" w:rsidRDefault="00E81ED5" w:rsidP="00A04584">
      <w:pPr>
        <w:ind w:firstLine="480"/>
        <w:jc w:val="left"/>
        <w:rPr>
          <w:rFonts w:ascii="宋体" w:hAnsi="宋体"/>
          <w:szCs w:val="24"/>
        </w:rPr>
      </w:pPr>
      <w:r w:rsidRPr="00E81ED5">
        <w:rPr>
          <w:rFonts w:ascii="宋体" w:hAnsi="宋体" w:hint="eastAsia"/>
          <w:szCs w:val="24"/>
        </w:rPr>
        <w:t>（4）</w:t>
      </w:r>
      <w:r>
        <w:rPr>
          <w:rFonts w:ascii="宋体" w:hAnsi="宋体" w:hint="eastAsia"/>
          <w:szCs w:val="24"/>
        </w:rPr>
        <w:t>加入大宗商品的风险平价模型</w:t>
      </w:r>
    </w:p>
    <w:p w14:paraId="49EB5BE4" w14:textId="77777777" w:rsidR="00E81ED5" w:rsidRDefault="00E81ED5" w:rsidP="00A04584">
      <w:pPr>
        <w:ind w:firstLine="480"/>
        <w:jc w:val="left"/>
        <w:rPr>
          <w:rFonts w:ascii="宋体" w:hAnsi="宋体"/>
          <w:szCs w:val="24"/>
        </w:rPr>
      </w:pPr>
      <w:r>
        <w:rPr>
          <w:rFonts w:ascii="宋体" w:hAnsi="宋体" w:hint="eastAsia"/>
          <w:szCs w:val="24"/>
        </w:rPr>
        <w:t>在股</w:t>
      </w:r>
      <w:proofErr w:type="gramStart"/>
      <w:r>
        <w:rPr>
          <w:rFonts w:ascii="宋体" w:hAnsi="宋体" w:hint="eastAsia"/>
          <w:szCs w:val="24"/>
        </w:rPr>
        <w:t>债风险</w:t>
      </w:r>
      <w:proofErr w:type="gramEnd"/>
      <w:r>
        <w:rPr>
          <w:rFonts w:ascii="宋体" w:hAnsi="宋体" w:hint="eastAsia"/>
          <w:szCs w:val="24"/>
        </w:rPr>
        <w:t>平价模型的基础上加入商品资产类别 ，构建股票、债券、商品三种资产类别的风险平价模型。</w:t>
      </w:r>
    </w:p>
    <w:p w14:paraId="65310A99" w14:textId="77777777" w:rsidR="00E81ED5" w:rsidRDefault="00E81ED5" w:rsidP="00A04584">
      <w:pPr>
        <w:ind w:firstLine="480"/>
        <w:jc w:val="left"/>
        <w:rPr>
          <w:rFonts w:ascii="宋体" w:hAnsi="宋体"/>
          <w:szCs w:val="24"/>
        </w:rPr>
      </w:pPr>
      <w:r>
        <w:rPr>
          <w:rFonts w:ascii="宋体" w:hAnsi="宋体" w:hint="eastAsia"/>
          <w:szCs w:val="24"/>
        </w:rPr>
        <w:t>在多种资产组成的风险平价投资组合中，应考虑资产间的相关性，并相应地调整权重。由于资产相关性波动较大，因此，简化处理，我们假设资产相关性为0，则每一类资产的风险权重应当相等。</w:t>
      </w:r>
    </w:p>
    <w:p w14:paraId="25708871" w14:textId="77777777" w:rsidR="00E81ED5" w:rsidRPr="00BF3CE2" w:rsidRDefault="00AD4881" w:rsidP="00E81ED5">
      <w:pPr>
        <w:ind w:firstLine="480"/>
        <w:jc w:val="left"/>
        <w:rPr>
          <w:rFonts w:ascii="宋体" w:hAnsi="宋体"/>
          <w:szCs w:val="24"/>
        </w:rPr>
      </w:pPr>
      <m:oMathPara>
        <m:oMathParaPr>
          <m:jc m:val="left"/>
        </m:oMathParaPr>
        <m:oMath>
          <m:sSub>
            <m:sSubPr>
              <m:ctrlPr>
                <w:rPr>
                  <w:rFonts w:ascii="Cambria Math" w:hAnsi="Cambria Math"/>
                  <w:szCs w:val="24"/>
                </w:rPr>
              </m:ctrlPr>
            </m:sSubPr>
            <m:e>
              <m:r>
                <w:rPr>
                  <w:rFonts w:ascii="Cambria Math" w:hAnsi="Cambria Math"/>
                  <w:szCs w:val="24"/>
                </w:rPr>
                <m:t xml:space="preserve">         W</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c</m:t>
              </m:r>
            </m:sub>
          </m:sSub>
          <m:r>
            <w:rPr>
              <w:rFonts w:ascii="Cambria Math" w:hAnsi="Cambria Math"/>
              <w:szCs w:val="24"/>
            </w:rPr>
            <m:t xml:space="preserve">=1            </m:t>
          </m:r>
          <m:sSub>
            <m:sSubPr>
              <m:ctrlPr>
                <w:rPr>
                  <w:rFonts w:ascii="Cambria Math" w:hAnsi="Cambria Math"/>
                  <w:szCs w:val="24"/>
                </w:rPr>
              </m:ctrlPr>
            </m:sSubPr>
            <m:e>
              <m:r>
                <w:rPr>
                  <w:rFonts w:ascii="Cambria Math" w:hAnsi="Cambria Math"/>
                  <w:szCs w:val="24"/>
                </w:rPr>
                <m:t>W</m:t>
              </m:r>
            </m:e>
            <m:sub>
              <m:r>
                <w:rPr>
                  <w:rFonts w:ascii="Cambria Math" w:hAnsi="Cambria Math"/>
                  <w:szCs w:val="24"/>
                </w:rPr>
                <m:t>e</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c</m:t>
              </m:r>
            </m:sub>
          </m:sSub>
          <m:r>
            <w:rPr>
              <w:rFonts w:ascii="Cambria Math" w:hAnsi="Cambria Math"/>
              <w:szCs w:val="24"/>
            </w:rPr>
            <m:t xml:space="preserve">      </m:t>
          </m:r>
        </m:oMath>
      </m:oMathPara>
    </w:p>
    <w:p w14:paraId="692F305D" w14:textId="77777777" w:rsidR="00BF3CE2" w:rsidRDefault="00BF3CE2" w:rsidP="00E81ED5">
      <w:pPr>
        <w:ind w:firstLine="480"/>
        <w:jc w:val="left"/>
        <w:rPr>
          <w:rFonts w:ascii="宋体" w:hAnsi="宋体"/>
          <w:szCs w:val="24"/>
        </w:rPr>
      </w:pPr>
      <w:r>
        <w:rPr>
          <w:rFonts w:ascii="宋体" w:hAnsi="宋体" w:hint="eastAsia"/>
          <w:szCs w:val="24"/>
        </w:rPr>
        <w:t>得出具体权重：</w:t>
      </w:r>
    </w:p>
    <w:p w14:paraId="525F4D68" w14:textId="77777777" w:rsidR="00BF3CE2" w:rsidRPr="00BF3CE2" w:rsidRDefault="00AD4881" w:rsidP="00E81ED5">
      <w:pPr>
        <w:ind w:firstLine="480"/>
        <w:jc w:val="left"/>
        <w:rPr>
          <w:rFonts w:ascii="宋体" w:hAnsi="宋体"/>
          <w:szCs w:val="24"/>
        </w:rPr>
      </w:pPr>
      <m:oMathPara>
        <m:oMathParaPr>
          <m:jc m:val="left"/>
        </m:oMathParaPr>
        <m:oMath>
          <m:sSub>
            <m:sSubPr>
              <m:ctrlPr>
                <w:rPr>
                  <w:rFonts w:ascii="Cambria Math" w:hAnsi="Cambria Math"/>
                  <w:szCs w:val="24"/>
                </w:rPr>
              </m:ctrlPr>
            </m:sSubPr>
            <m:e>
              <m:r>
                <w:rPr>
                  <w:rFonts w:ascii="Cambria Math" w:hAnsi="Cambria Math"/>
                  <w:szCs w:val="24"/>
                </w:rPr>
                <m:t xml:space="preserve">          w</m:t>
              </m:r>
            </m:e>
            <m:sub>
              <m:r>
                <w:rPr>
                  <w:rFonts w:ascii="Cambria Math" w:hAnsi="Cambria Math"/>
                  <w:szCs w:val="24"/>
                </w:rPr>
                <m:t>e</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1+</m:t>
              </m:r>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b</m:t>
                      </m:r>
                    </m:sub>
                  </m:sSub>
                  <m:r>
                    <w:rPr>
                      <w:rFonts w:ascii="Cambria Math" w:hAnsi="Cambria Math"/>
                      <w:szCs w:val="24"/>
                    </w:rPr>
                    <m:t>+</m:t>
                  </m:r>
                  <m:f>
                    <m:fPr>
                      <m:type m:val="lin"/>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c</m:t>
                          </m:r>
                        </m:sub>
                      </m:sSub>
                    </m:den>
                  </m:f>
                </m:den>
              </m:f>
            </m:den>
          </m:f>
        </m:oMath>
      </m:oMathPara>
    </w:p>
    <w:p w14:paraId="2D295EA8" w14:textId="77777777" w:rsidR="00BF3CE2" w:rsidRPr="003D4D0E" w:rsidRDefault="00BF3CE2" w:rsidP="00E81ED5">
      <w:pPr>
        <w:ind w:firstLine="480"/>
        <w:jc w:val="left"/>
        <w:rPr>
          <w:rFonts w:ascii="宋体" w:hAnsi="宋体"/>
          <w:szCs w:val="24"/>
        </w:rPr>
      </w:pPr>
      <m:oMathPara>
        <m:oMathParaPr>
          <m:jc m:val="left"/>
        </m:oMathParaPr>
        <m:oMath>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w</m:t>
              </m:r>
            </m:e>
            <m:sub>
              <m:r>
                <w:rPr>
                  <w:rFonts w:ascii="Cambria Math" w:hAnsi="Cambria Math" w:hint="eastAsia"/>
                  <w:szCs w:val="24"/>
                </w:rPr>
                <m:t>b</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e</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b</m:t>
                  </m:r>
                </m:sub>
              </m:sSub>
            </m:den>
          </m:f>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c</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σ</m:t>
                  </m:r>
                </m:e>
                <m:sub>
                  <m:r>
                    <w:rPr>
                      <w:rFonts w:ascii="Cambria Math" w:hAnsi="Cambria Math"/>
                      <w:szCs w:val="24"/>
                    </w:rPr>
                    <m:t>e</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e</m:t>
                  </m:r>
                </m:sub>
              </m:sSub>
            </m:num>
            <m:den>
              <m:sSub>
                <m:sSubPr>
                  <m:ctrlPr>
                    <w:rPr>
                      <w:rFonts w:ascii="Cambria Math" w:hAnsi="Cambria Math"/>
                      <w:i/>
                      <w:szCs w:val="24"/>
                    </w:rPr>
                  </m:ctrlPr>
                </m:sSubPr>
                <m:e>
                  <m:r>
                    <w:rPr>
                      <w:rFonts w:ascii="Cambria Math" w:hAnsi="Cambria Math"/>
                      <w:szCs w:val="24"/>
                    </w:rPr>
                    <m:t>σ</m:t>
                  </m:r>
                </m:e>
                <m:sub>
                  <m:r>
                    <w:rPr>
                      <w:rFonts w:ascii="Cambria Math" w:hAnsi="Cambria Math"/>
                      <w:szCs w:val="24"/>
                    </w:rPr>
                    <m:t>c</m:t>
                  </m:r>
                </m:sub>
              </m:sSub>
            </m:den>
          </m:f>
        </m:oMath>
      </m:oMathPara>
    </w:p>
    <w:p w14:paraId="27211EA3" w14:textId="77777777" w:rsidR="00E731B1" w:rsidRPr="00E731B1" w:rsidRDefault="003D4D0E" w:rsidP="00E731B1">
      <w:pPr>
        <w:widowControl/>
        <w:ind w:firstLine="480"/>
        <w:jc w:val="left"/>
        <w:rPr>
          <w:rFonts w:ascii="等线" w:eastAsia="等线" w:hAnsi="等线" w:cs="宋体"/>
          <w:color w:val="000000"/>
          <w:kern w:val="0"/>
          <w:sz w:val="22"/>
        </w:rPr>
      </w:pPr>
      <w:r>
        <w:rPr>
          <w:rFonts w:ascii="宋体" w:hAnsi="宋体" w:hint="eastAsia"/>
          <w:szCs w:val="24"/>
        </w:rPr>
        <w:lastRenderedPageBreak/>
        <w:t>计算得出：</w:t>
      </w:r>
      <m:oMath>
        <m:sSub>
          <m:sSubPr>
            <m:ctrlPr>
              <w:rPr>
                <w:rFonts w:ascii="Cambria Math" w:hAnsi="Cambria Math"/>
                <w:szCs w:val="24"/>
              </w:rPr>
            </m:ctrlPr>
          </m:sSubPr>
          <m:e>
            <m:r>
              <w:rPr>
                <w:rFonts w:ascii="Cambria Math" w:hAnsi="Cambria Math"/>
                <w:szCs w:val="24"/>
              </w:rPr>
              <m:t>w</m:t>
            </m:r>
          </m:e>
          <m:sub>
            <m:r>
              <w:rPr>
                <w:rFonts w:ascii="Cambria Math" w:hAnsi="Cambria Math"/>
                <w:szCs w:val="24"/>
              </w:rPr>
              <m:t>e</m:t>
            </m:r>
          </m:sub>
        </m:sSub>
      </m:oMath>
      <w:r>
        <w:rPr>
          <w:rFonts w:ascii="宋体" w:hAnsi="宋体" w:hint="eastAsia"/>
          <w:szCs w:val="24"/>
        </w:rPr>
        <w:t>=</w:t>
      </w:r>
      <w:r w:rsidRPr="003D4D0E">
        <w:rPr>
          <w:rFonts w:ascii="等线" w:eastAsia="等线" w:hAnsi="等线" w:cs="宋体" w:hint="eastAsia"/>
          <w:color w:val="000000"/>
          <w:kern w:val="0"/>
          <w:sz w:val="22"/>
        </w:rPr>
        <w:t>0.059</w:t>
      </w:r>
      <w:r>
        <w:rPr>
          <w:rFonts w:ascii="等线" w:eastAsia="等线" w:hAnsi="等线" w:cs="宋体"/>
          <w:color w:val="000000"/>
          <w:kern w:val="0"/>
          <w:sz w:val="22"/>
        </w:rPr>
        <w:t xml:space="preserve">3 </w:t>
      </w:r>
      <m:oMath>
        <m:sSub>
          <m:sSubPr>
            <m:ctrlPr>
              <w:rPr>
                <w:rFonts w:ascii="Cambria Math" w:hAnsi="Cambria Math"/>
                <w:szCs w:val="24"/>
              </w:rPr>
            </m:ctrlPr>
          </m:sSubPr>
          <m:e>
            <m:r>
              <w:rPr>
                <w:rFonts w:ascii="Cambria Math" w:hAnsi="Cambria Math"/>
                <w:szCs w:val="24"/>
              </w:rPr>
              <m:t>w</m:t>
            </m:r>
          </m:e>
          <m:sub>
            <m:r>
              <w:rPr>
                <w:rFonts w:ascii="Cambria Math" w:hAnsi="Cambria Math" w:hint="eastAsia"/>
                <w:szCs w:val="24"/>
              </w:rPr>
              <m:t>b</m:t>
            </m:r>
          </m:sub>
        </m:sSub>
      </m:oMath>
      <w:r>
        <w:rPr>
          <w:rFonts w:ascii="等线" w:eastAsia="等线" w:hAnsi="等线" w:cs="宋体" w:hint="eastAsia"/>
          <w:szCs w:val="24"/>
        </w:rPr>
        <w:t>=</w:t>
      </w:r>
      <w:r w:rsidR="00E731B1" w:rsidRPr="00E731B1">
        <w:rPr>
          <w:rFonts w:ascii="等线" w:eastAsia="等线" w:hAnsi="等线" w:cs="宋体" w:hint="eastAsia"/>
          <w:color w:val="000000"/>
          <w:kern w:val="0"/>
          <w:sz w:val="22"/>
        </w:rPr>
        <w:t>0.844</w:t>
      </w:r>
      <w:r w:rsidR="00E731B1">
        <w:rPr>
          <w:rFonts w:ascii="等线" w:eastAsia="等线" w:hAnsi="等线" w:cs="宋体"/>
          <w:color w:val="000000"/>
          <w:kern w:val="0"/>
          <w:sz w:val="22"/>
        </w:rPr>
        <w:t xml:space="preserve">7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c</m:t>
            </m:r>
          </m:sub>
        </m:sSub>
      </m:oMath>
      <w:r w:rsidR="00E731B1">
        <w:rPr>
          <w:rFonts w:ascii="等线" w:eastAsia="等线" w:hAnsi="等线" w:cs="宋体" w:hint="eastAsia"/>
          <w:szCs w:val="24"/>
        </w:rPr>
        <w:t>=</w:t>
      </w:r>
      <w:r w:rsidR="00E731B1" w:rsidRPr="00E731B1">
        <w:rPr>
          <w:rFonts w:ascii="等线" w:eastAsia="等线" w:hAnsi="等线" w:cs="宋体" w:hint="eastAsia"/>
          <w:color w:val="000000"/>
          <w:kern w:val="0"/>
          <w:sz w:val="22"/>
        </w:rPr>
        <w:t>0.096</w:t>
      </w:r>
      <w:r w:rsidR="00E731B1">
        <w:rPr>
          <w:rFonts w:ascii="等线" w:eastAsia="等线" w:hAnsi="等线" w:cs="宋体"/>
          <w:color w:val="000000"/>
          <w:kern w:val="0"/>
          <w:sz w:val="22"/>
        </w:rPr>
        <w:t>0</w:t>
      </w:r>
    </w:p>
    <w:p w14:paraId="3CA11142" w14:textId="77777777" w:rsidR="00E731B1" w:rsidRDefault="00280EDD" w:rsidP="00280EDD">
      <w:pPr>
        <w:widowControl/>
        <w:ind w:firstLine="480"/>
        <w:jc w:val="left"/>
        <w:rPr>
          <w:rFonts w:ascii="宋体" w:hAnsi="宋体"/>
          <w:szCs w:val="24"/>
        </w:rPr>
      </w:pPr>
      <w:r w:rsidRPr="00280EDD">
        <w:rPr>
          <w:rFonts w:ascii="宋体" w:hAnsi="宋体" w:hint="eastAsia"/>
          <w:szCs w:val="24"/>
        </w:rPr>
        <w:t>（5）股</w:t>
      </w:r>
      <w:r>
        <w:rPr>
          <w:rFonts w:ascii="宋体" w:hAnsi="宋体" w:hint="eastAsia"/>
          <w:szCs w:val="24"/>
        </w:rPr>
        <w:t>票、</w:t>
      </w:r>
      <w:r w:rsidRPr="00280EDD">
        <w:rPr>
          <w:rFonts w:ascii="宋体" w:hAnsi="宋体" w:hint="eastAsia"/>
          <w:szCs w:val="24"/>
        </w:rPr>
        <w:t>债</w:t>
      </w:r>
      <w:r>
        <w:rPr>
          <w:rFonts w:ascii="宋体" w:hAnsi="宋体" w:hint="eastAsia"/>
          <w:szCs w:val="24"/>
        </w:rPr>
        <w:t>券、</w:t>
      </w:r>
      <w:r w:rsidRPr="00280EDD">
        <w:rPr>
          <w:rFonts w:ascii="宋体" w:hAnsi="宋体" w:hint="eastAsia"/>
          <w:szCs w:val="24"/>
        </w:rPr>
        <w:t>商品结果分析</w:t>
      </w:r>
    </w:p>
    <w:tbl>
      <w:tblPr>
        <w:tblW w:w="8603" w:type="dxa"/>
        <w:tblLook w:val="04A0" w:firstRow="1" w:lastRow="0" w:firstColumn="1" w:lastColumn="0" w:noHBand="0" w:noVBand="1"/>
      </w:tblPr>
      <w:tblGrid>
        <w:gridCol w:w="1416"/>
        <w:gridCol w:w="1090"/>
        <w:gridCol w:w="1322"/>
        <w:gridCol w:w="1417"/>
        <w:gridCol w:w="1461"/>
        <w:gridCol w:w="1897"/>
      </w:tblGrid>
      <w:tr w:rsidR="00280EDD" w:rsidRPr="00280EDD" w14:paraId="3A0FFD68" w14:textId="77777777" w:rsidTr="00A04584">
        <w:trPr>
          <w:trHeight w:val="276"/>
        </w:trPr>
        <w:tc>
          <w:tcPr>
            <w:tcW w:w="1416" w:type="dxa"/>
            <w:tcBorders>
              <w:top w:val="single" w:sz="4" w:space="0" w:color="auto"/>
              <w:left w:val="nil"/>
              <w:bottom w:val="single" w:sz="4" w:space="0" w:color="auto"/>
              <w:right w:val="nil"/>
            </w:tcBorders>
            <w:shd w:val="clear" w:color="auto" w:fill="auto"/>
            <w:noWrap/>
            <w:vAlign w:val="center"/>
            <w:hideMark/>
          </w:tcPr>
          <w:p w14:paraId="0A1FD3BE"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指标</w:t>
            </w:r>
          </w:p>
        </w:tc>
        <w:tc>
          <w:tcPr>
            <w:tcW w:w="1090" w:type="dxa"/>
            <w:tcBorders>
              <w:top w:val="single" w:sz="4" w:space="0" w:color="auto"/>
              <w:left w:val="nil"/>
              <w:bottom w:val="single" w:sz="4" w:space="0" w:color="auto"/>
              <w:right w:val="nil"/>
            </w:tcBorders>
            <w:shd w:val="clear" w:color="auto" w:fill="auto"/>
            <w:noWrap/>
            <w:vAlign w:val="center"/>
            <w:hideMark/>
          </w:tcPr>
          <w:p w14:paraId="020ACD6F" w14:textId="77777777" w:rsidR="00280EDD" w:rsidRPr="00280EDD" w:rsidRDefault="00280EDD" w:rsidP="00280EDD">
            <w:pPr>
              <w:widowControl/>
              <w:ind w:firstLine="360"/>
              <w:jc w:val="center"/>
              <w:rPr>
                <w:rFonts w:ascii="等线" w:eastAsia="等线" w:hAnsi="等线" w:cs="宋体"/>
                <w:color w:val="000000"/>
                <w:kern w:val="0"/>
                <w:sz w:val="18"/>
                <w:szCs w:val="18"/>
              </w:rPr>
            </w:pPr>
            <w:proofErr w:type="gramStart"/>
            <w:r w:rsidRPr="00280EDD">
              <w:rPr>
                <w:rFonts w:ascii="等线" w:eastAsia="等线" w:hAnsi="等线" w:cs="宋体" w:hint="eastAsia"/>
                <w:color w:val="000000"/>
                <w:kern w:val="0"/>
                <w:sz w:val="18"/>
                <w:szCs w:val="18"/>
              </w:rPr>
              <w:t>纯股</w:t>
            </w:r>
            <w:proofErr w:type="gramEnd"/>
          </w:p>
        </w:tc>
        <w:tc>
          <w:tcPr>
            <w:tcW w:w="1322" w:type="dxa"/>
            <w:tcBorders>
              <w:top w:val="single" w:sz="4" w:space="0" w:color="auto"/>
              <w:left w:val="nil"/>
              <w:bottom w:val="single" w:sz="4" w:space="0" w:color="auto"/>
              <w:right w:val="nil"/>
            </w:tcBorders>
            <w:shd w:val="clear" w:color="auto" w:fill="auto"/>
            <w:noWrap/>
            <w:vAlign w:val="center"/>
            <w:hideMark/>
          </w:tcPr>
          <w:p w14:paraId="7377D1A5"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纯商品</w:t>
            </w:r>
          </w:p>
        </w:tc>
        <w:tc>
          <w:tcPr>
            <w:tcW w:w="1417" w:type="dxa"/>
            <w:tcBorders>
              <w:top w:val="single" w:sz="4" w:space="0" w:color="auto"/>
              <w:left w:val="nil"/>
              <w:bottom w:val="single" w:sz="4" w:space="0" w:color="auto"/>
              <w:right w:val="nil"/>
            </w:tcBorders>
            <w:shd w:val="clear" w:color="auto" w:fill="auto"/>
            <w:noWrap/>
            <w:vAlign w:val="center"/>
            <w:hideMark/>
          </w:tcPr>
          <w:p w14:paraId="56B29B3B"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股债6：4</w:t>
            </w:r>
          </w:p>
        </w:tc>
        <w:tc>
          <w:tcPr>
            <w:tcW w:w="1461" w:type="dxa"/>
            <w:tcBorders>
              <w:top w:val="single" w:sz="4" w:space="0" w:color="auto"/>
              <w:left w:val="nil"/>
              <w:bottom w:val="single" w:sz="4" w:space="0" w:color="auto"/>
              <w:right w:val="nil"/>
            </w:tcBorders>
            <w:shd w:val="clear" w:color="auto" w:fill="auto"/>
            <w:noWrap/>
            <w:vAlign w:val="center"/>
            <w:hideMark/>
          </w:tcPr>
          <w:p w14:paraId="1CFA13C2"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股</w:t>
            </w:r>
            <w:proofErr w:type="gramStart"/>
            <w:r w:rsidRPr="00280EDD">
              <w:rPr>
                <w:rFonts w:ascii="等线" w:eastAsia="等线" w:hAnsi="等线" w:cs="宋体" w:hint="eastAsia"/>
                <w:color w:val="000000"/>
                <w:kern w:val="0"/>
                <w:sz w:val="18"/>
                <w:szCs w:val="18"/>
              </w:rPr>
              <w:t>债风险</w:t>
            </w:r>
            <w:proofErr w:type="gramEnd"/>
            <w:r w:rsidRPr="00280EDD">
              <w:rPr>
                <w:rFonts w:ascii="等线" w:eastAsia="等线" w:hAnsi="等线" w:cs="宋体" w:hint="eastAsia"/>
                <w:color w:val="000000"/>
                <w:kern w:val="0"/>
                <w:sz w:val="18"/>
                <w:szCs w:val="18"/>
              </w:rPr>
              <w:t>平价</w:t>
            </w:r>
          </w:p>
        </w:tc>
        <w:tc>
          <w:tcPr>
            <w:tcW w:w="1897" w:type="dxa"/>
            <w:tcBorders>
              <w:top w:val="single" w:sz="4" w:space="0" w:color="auto"/>
              <w:left w:val="nil"/>
              <w:bottom w:val="single" w:sz="4" w:space="0" w:color="auto"/>
              <w:right w:val="nil"/>
            </w:tcBorders>
            <w:shd w:val="clear" w:color="auto" w:fill="auto"/>
            <w:noWrap/>
            <w:vAlign w:val="center"/>
            <w:hideMark/>
          </w:tcPr>
          <w:p w14:paraId="40D4AD7A" w14:textId="77777777" w:rsidR="00280EDD" w:rsidRPr="00280EDD" w:rsidRDefault="00280EDD" w:rsidP="00280EDD">
            <w:pPr>
              <w:widowControl/>
              <w:ind w:firstLine="360"/>
              <w:jc w:val="center"/>
              <w:rPr>
                <w:rFonts w:ascii="等线" w:eastAsia="等线" w:hAnsi="等线" w:cs="宋体"/>
                <w:color w:val="000000"/>
                <w:kern w:val="0"/>
                <w:sz w:val="18"/>
                <w:szCs w:val="18"/>
              </w:rPr>
            </w:pPr>
            <w:proofErr w:type="gramStart"/>
            <w:r w:rsidRPr="00280EDD">
              <w:rPr>
                <w:rFonts w:ascii="等线" w:eastAsia="等线" w:hAnsi="等线" w:cs="宋体" w:hint="eastAsia"/>
                <w:color w:val="000000"/>
                <w:kern w:val="0"/>
                <w:sz w:val="18"/>
                <w:szCs w:val="18"/>
              </w:rPr>
              <w:t>加商品</w:t>
            </w:r>
            <w:proofErr w:type="gramEnd"/>
            <w:r w:rsidRPr="00280EDD">
              <w:rPr>
                <w:rFonts w:ascii="等线" w:eastAsia="等线" w:hAnsi="等线" w:cs="宋体" w:hint="eastAsia"/>
                <w:color w:val="000000"/>
                <w:kern w:val="0"/>
                <w:sz w:val="18"/>
                <w:szCs w:val="18"/>
              </w:rPr>
              <w:t>风险平价</w:t>
            </w:r>
          </w:p>
        </w:tc>
      </w:tr>
      <w:tr w:rsidR="00280EDD" w:rsidRPr="00280EDD" w14:paraId="7D17B289" w14:textId="77777777" w:rsidTr="00A04584">
        <w:trPr>
          <w:trHeight w:val="276"/>
        </w:trPr>
        <w:tc>
          <w:tcPr>
            <w:tcW w:w="1416" w:type="dxa"/>
            <w:tcBorders>
              <w:top w:val="nil"/>
              <w:left w:val="nil"/>
              <w:bottom w:val="nil"/>
              <w:right w:val="nil"/>
            </w:tcBorders>
            <w:shd w:val="clear" w:color="auto" w:fill="auto"/>
            <w:noWrap/>
            <w:vAlign w:val="center"/>
            <w:hideMark/>
          </w:tcPr>
          <w:p w14:paraId="127961B1"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收益率</w:t>
            </w:r>
          </w:p>
        </w:tc>
        <w:tc>
          <w:tcPr>
            <w:tcW w:w="1090" w:type="dxa"/>
            <w:tcBorders>
              <w:top w:val="nil"/>
              <w:left w:val="nil"/>
              <w:bottom w:val="nil"/>
              <w:right w:val="nil"/>
            </w:tcBorders>
            <w:shd w:val="clear" w:color="auto" w:fill="auto"/>
            <w:noWrap/>
            <w:vAlign w:val="center"/>
            <w:hideMark/>
          </w:tcPr>
          <w:p w14:paraId="55A56DC9"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0.0025 </w:t>
            </w:r>
          </w:p>
        </w:tc>
        <w:tc>
          <w:tcPr>
            <w:tcW w:w="1322" w:type="dxa"/>
            <w:tcBorders>
              <w:top w:val="nil"/>
              <w:left w:val="nil"/>
              <w:bottom w:val="nil"/>
              <w:right w:val="nil"/>
            </w:tcBorders>
            <w:shd w:val="clear" w:color="auto" w:fill="auto"/>
            <w:noWrap/>
            <w:vAlign w:val="center"/>
            <w:hideMark/>
          </w:tcPr>
          <w:p w14:paraId="4671917C"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0.0004 </w:t>
            </w:r>
          </w:p>
        </w:tc>
        <w:tc>
          <w:tcPr>
            <w:tcW w:w="1417" w:type="dxa"/>
            <w:tcBorders>
              <w:top w:val="nil"/>
              <w:left w:val="nil"/>
              <w:bottom w:val="nil"/>
              <w:right w:val="nil"/>
            </w:tcBorders>
            <w:shd w:val="clear" w:color="auto" w:fill="auto"/>
            <w:noWrap/>
            <w:vAlign w:val="center"/>
            <w:hideMark/>
          </w:tcPr>
          <w:p w14:paraId="0DE7173E"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0.0018 </w:t>
            </w:r>
          </w:p>
        </w:tc>
        <w:tc>
          <w:tcPr>
            <w:tcW w:w="1461" w:type="dxa"/>
            <w:tcBorders>
              <w:top w:val="nil"/>
              <w:left w:val="nil"/>
              <w:bottom w:val="nil"/>
              <w:right w:val="nil"/>
            </w:tcBorders>
            <w:shd w:val="clear" w:color="auto" w:fill="auto"/>
            <w:noWrap/>
            <w:vAlign w:val="center"/>
            <w:hideMark/>
          </w:tcPr>
          <w:p w14:paraId="75736D27"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0.0008 </w:t>
            </w:r>
          </w:p>
        </w:tc>
        <w:tc>
          <w:tcPr>
            <w:tcW w:w="1897" w:type="dxa"/>
            <w:tcBorders>
              <w:top w:val="nil"/>
              <w:left w:val="nil"/>
              <w:bottom w:val="nil"/>
              <w:right w:val="nil"/>
            </w:tcBorders>
            <w:shd w:val="clear" w:color="auto" w:fill="auto"/>
            <w:noWrap/>
            <w:vAlign w:val="center"/>
            <w:hideMark/>
          </w:tcPr>
          <w:p w14:paraId="682F63E2"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0.0007 </w:t>
            </w:r>
          </w:p>
        </w:tc>
      </w:tr>
      <w:tr w:rsidR="00280EDD" w:rsidRPr="00280EDD" w14:paraId="27B378B4" w14:textId="77777777" w:rsidTr="00A04584">
        <w:trPr>
          <w:trHeight w:val="276"/>
        </w:trPr>
        <w:tc>
          <w:tcPr>
            <w:tcW w:w="1416" w:type="dxa"/>
            <w:tcBorders>
              <w:top w:val="nil"/>
              <w:left w:val="nil"/>
              <w:bottom w:val="nil"/>
              <w:right w:val="nil"/>
            </w:tcBorders>
            <w:shd w:val="clear" w:color="auto" w:fill="auto"/>
            <w:noWrap/>
            <w:vAlign w:val="center"/>
            <w:hideMark/>
          </w:tcPr>
          <w:p w14:paraId="11291F05"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波动率</w:t>
            </w:r>
          </w:p>
        </w:tc>
        <w:tc>
          <w:tcPr>
            <w:tcW w:w="1090" w:type="dxa"/>
            <w:tcBorders>
              <w:top w:val="nil"/>
              <w:left w:val="nil"/>
              <w:bottom w:val="nil"/>
              <w:right w:val="nil"/>
            </w:tcBorders>
            <w:shd w:val="clear" w:color="auto" w:fill="auto"/>
            <w:noWrap/>
            <w:vAlign w:val="center"/>
            <w:hideMark/>
          </w:tcPr>
          <w:p w14:paraId="7197AFFF"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0.0331 </w:t>
            </w:r>
          </w:p>
        </w:tc>
        <w:tc>
          <w:tcPr>
            <w:tcW w:w="1322" w:type="dxa"/>
            <w:tcBorders>
              <w:top w:val="nil"/>
              <w:left w:val="nil"/>
              <w:bottom w:val="nil"/>
              <w:right w:val="nil"/>
            </w:tcBorders>
            <w:shd w:val="clear" w:color="auto" w:fill="auto"/>
            <w:noWrap/>
            <w:vAlign w:val="center"/>
            <w:hideMark/>
          </w:tcPr>
          <w:p w14:paraId="6347B7C8"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0.0205 </w:t>
            </w:r>
          </w:p>
        </w:tc>
        <w:tc>
          <w:tcPr>
            <w:tcW w:w="1417" w:type="dxa"/>
            <w:tcBorders>
              <w:top w:val="nil"/>
              <w:left w:val="nil"/>
              <w:bottom w:val="nil"/>
              <w:right w:val="nil"/>
            </w:tcBorders>
            <w:shd w:val="clear" w:color="auto" w:fill="auto"/>
            <w:noWrap/>
            <w:vAlign w:val="center"/>
            <w:hideMark/>
          </w:tcPr>
          <w:p w14:paraId="51624E18"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0.0198 </w:t>
            </w:r>
          </w:p>
        </w:tc>
        <w:tc>
          <w:tcPr>
            <w:tcW w:w="1461" w:type="dxa"/>
            <w:tcBorders>
              <w:top w:val="nil"/>
              <w:left w:val="nil"/>
              <w:bottom w:val="nil"/>
              <w:right w:val="nil"/>
            </w:tcBorders>
            <w:shd w:val="clear" w:color="auto" w:fill="auto"/>
            <w:noWrap/>
            <w:vAlign w:val="center"/>
            <w:hideMark/>
          </w:tcPr>
          <w:p w14:paraId="435AD1C6"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0.0028 </w:t>
            </w:r>
          </w:p>
        </w:tc>
        <w:tc>
          <w:tcPr>
            <w:tcW w:w="1897" w:type="dxa"/>
            <w:tcBorders>
              <w:top w:val="nil"/>
              <w:left w:val="nil"/>
              <w:bottom w:val="nil"/>
              <w:right w:val="nil"/>
            </w:tcBorders>
            <w:shd w:val="clear" w:color="auto" w:fill="auto"/>
            <w:noWrap/>
            <w:vAlign w:val="center"/>
            <w:hideMark/>
          </w:tcPr>
          <w:p w14:paraId="0E2E77B8"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0.00</w:t>
            </w:r>
            <w:r w:rsidR="00BB52EE">
              <w:rPr>
                <w:rFonts w:ascii="等线" w:eastAsia="等线" w:hAnsi="等线" w:cs="宋体"/>
                <w:color w:val="000000"/>
                <w:kern w:val="0"/>
                <w:sz w:val="18"/>
                <w:szCs w:val="18"/>
              </w:rPr>
              <w:t>2</w:t>
            </w:r>
            <w:r w:rsidRPr="00280EDD">
              <w:rPr>
                <w:rFonts w:ascii="等线" w:eastAsia="等线" w:hAnsi="等线" w:cs="宋体" w:hint="eastAsia"/>
                <w:color w:val="000000"/>
                <w:kern w:val="0"/>
                <w:sz w:val="18"/>
                <w:szCs w:val="18"/>
              </w:rPr>
              <w:t xml:space="preserve">3 </w:t>
            </w:r>
          </w:p>
        </w:tc>
      </w:tr>
      <w:tr w:rsidR="00280EDD" w:rsidRPr="00280EDD" w14:paraId="138768FB" w14:textId="77777777" w:rsidTr="00A04584">
        <w:trPr>
          <w:trHeight w:val="276"/>
        </w:trPr>
        <w:tc>
          <w:tcPr>
            <w:tcW w:w="1416" w:type="dxa"/>
            <w:tcBorders>
              <w:top w:val="nil"/>
              <w:left w:val="nil"/>
              <w:bottom w:val="single" w:sz="4" w:space="0" w:color="auto"/>
              <w:right w:val="nil"/>
            </w:tcBorders>
            <w:shd w:val="clear" w:color="auto" w:fill="auto"/>
            <w:noWrap/>
            <w:vAlign w:val="center"/>
            <w:hideMark/>
          </w:tcPr>
          <w:p w14:paraId="2B2A6756"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夏普比率</w:t>
            </w:r>
          </w:p>
        </w:tc>
        <w:tc>
          <w:tcPr>
            <w:tcW w:w="1090" w:type="dxa"/>
            <w:tcBorders>
              <w:top w:val="nil"/>
              <w:left w:val="nil"/>
              <w:bottom w:val="single" w:sz="4" w:space="0" w:color="auto"/>
              <w:right w:val="nil"/>
            </w:tcBorders>
            <w:shd w:val="clear" w:color="auto" w:fill="auto"/>
            <w:noWrap/>
            <w:vAlign w:val="center"/>
            <w:hideMark/>
          </w:tcPr>
          <w:p w14:paraId="14CB0ED5"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0.0559 </w:t>
            </w:r>
          </w:p>
        </w:tc>
        <w:tc>
          <w:tcPr>
            <w:tcW w:w="1322" w:type="dxa"/>
            <w:tcBorders>
              <w:top w:val="nil"/>
              <w:left w:val="nil"/>
              <w:bottom w:val="single" w:sz="4" w:space="0" w:color="auto"/>
              <w:right w:val="nil"/>
            </w:tcBorders>
            <w:shd w:val="clear" w:color="auto" w:fill="auto"/>
            <w:noWrap/>
            <w:vAlign w:val="center"/>
            <w:hideMark/>
          </w:tcPr>
          <w:p w14:paraId="4D04CAE2"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-0.0138 </w:t>
            </w:r>
          </w:p>
        </w:tc>
        <w:tc>
          <w:tcPr>
            <w:tcW w:w="1417" w:type="dxa"/>
            <w:tcBorders>
              <w:top w:val="nil"/>
              <w:left w:val="nil"/>
              <w:bottom w:val="single" w:sz="4" w:space="0" w:color="auto"/>
              <w:right w:val="nil"/>
            </w:tcBorders>
            <w:shd w:val="clear" w:color="auto" w:fill="auto"/>
            <w:noWrap/>
            <w:vAlign w:val="center"/>
            <w:hideMark/>
          </w:tcPr>
          <w:p w14:paraId="4BE82135"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0.0556 </w:t>
            </w:r>
          </w:p>
        </w:tc>
        <w:tc>
          <w:tcPr>
            <w:tcW w:w="1461" w:type="dxa"/>
            <w:tcBorders>
              <w:top w:val="nil"/>
              <w:left w:val="nil"/>
              <w:bottom w:val="single" w:sz="4" w:space="0" w:color="auto"/>
              <w:right w:val="nil"/>
            </w:tcBorders>
            <w:shd w:val="clear" w:color="auto" w:fill="auto"/>
            <w:noWrap/>
            <w:vAlign w:val="center"/>
            <w:hideMark/>
          </w:tcPr>
          <w:p w14:paraId="234ED7AE"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0.3163 </w:t>
            </w:r>
          </w:p>
        </w:tc>
        <w:tc>
          <w:tcPr>
            <w:tcW w:w="1897" w:type="dxa"/>
            <w:tcBorders>
              <w:top w:val="nil"/>
              <w:left w:val="nil"/>
              <w:bottom w:val="single" w:sz="4" w:space="0" w:color="auto"/>
              <w:right w:val="nil"/>
            </w:tcBorders>
            <w:shd w:val="clear" w:color="auto" w:fill="auto"/>
            <w:noWrap/>
            <w:vAlign w:val="center"/>
            <w:hideMark/>
          </w:tcPr>
          <w:p w14:paraId="22B4F77E" w14:textId="77777777" w:rsidR="00280EDD" w:rsidRPr="00280EDD" w:rsidRDefault="00280EDD" w:rsidP="00280EDD">
            <w:pPr>
              <w:widowControl/>
              <w:ind w:firstLine="360"/>
              <w:jc w:val="center"/>
              <w:rPr>
                <w:rFonts w:ascii="等线" w:eastAsia="等线" w:hAnsi="等线" w:cs="宋体"/>
                <w:color w:val="000000"/>
                <w:kern w:val="0"/>
                <w:sz w:val="18"/>
                <w:szCs w:val="18"/>
              </w:rPr>
            </w:pPr>
            <w:r w:rsidRPr="00280EDD">
              <w:rPr>
                <w:rFonts w:ascii="等线" w:eastAsia="等线" w:hAnsi="等线" w:cs="宋体" w:hint="eastAsia"/>
                <w:color w:val="000000"/>
                <w:kern w:val="0"/>
                <w:sz w:val="18"/>
                <w:szCs w:val="18"/>
              </w:rPr>
              <w:t xml:space="preserve">0.3793 </w:t>
            </w:r>
          </w:p>
        </w:tc>
      </w:tr>
    </w:tbl>
    <w:p w14:paraId="4CD30E3E" w14:textId="77777777" w:rsidR="00BB52EE" w:rsidRPr="00A04584" w:rsidRDefault="00BB52EE" w:rsidP="00BB52EE">
      <w:pPr>
        <w:widowControl/>
        <w:ind w:firstLine="420"/>
        <w:jc w:val="center"/>
        <w:rPr>
          <w:rFonts w:ascii="等线" w:eastAsia="等线" w:hAnsi="等线" w:cs="宋体"/>
          <w:color w:val="000000"/>
          <w:kern w:val="0"/>
          <w:sz w:val="20"/>
        </w:rPr>
      </w:pPr>
      <w:r w:rsidRPr="00A04584">
        <w:rPr>
          <w:rFonts w:ascii="宋体" w:hAnsi="宋体"/>
          <w:color w:val="FF0000"/>
          <w:sz w:val="21"/>
        </w:rPr>
        <w:t>表格8</w:t>
      </w:r>
      <w:r w:rsidRPr="00A04584">
        <w:rPr>
          <w:rFonts w:ascii="宋体" w:hAnsi="宋体" w:hint="eastAsia"/>
          <w:color w:val="FF0000"/>
          <w:sz w:val="21"/>
        </w:rPr>
        <w:t>股</w:t>
      </w:r>
      <w:proofErr w:type="gramStart"/>
      <w:r w:rsidRPr="00A04584">
        <w:rPr>
          <w:rFonts w:ascii="宋体" w:hAnsi="宋体" w:hint="eastAsia"/>
          <w:color w:val="FF0000"/>
          <w:sz w:val="21"/>
        </w:rPr>
        <w:t>债风险</w:t>
      </w:r>
      <w:proofErr w:type="gramEnd"/>
      <w:r w:rsidRPr="00A04584">
        <w:rPr>
          <w:rFonts w:ascii="宋体" w:hAnsi="宋体" w:hint="eastAsia"/>
          <w:color w:val="FF0000"/>
          <w:sz w:val="21"/>
        </w:rPr>
        <w:t>平价和股</w:t>
      </w:r>
      <w:proofErr w:type="gramStart"/>
      <w:r w:rsidRPr="00A04584">
        <w:rPr>
          <w:rFonts w:ascii="宋体" w:hAnsi="宋体" w:hint="eastAsia"/>
          <w:color w:val="FF0000"/>
          <w:sz w:val="21"/>
        </w:rPr>
        <w:t>债商品</w:t>
      </w:r>
      <w:proofErr w:type="gramEnd"/>
      <w:r w:rsidRPr="00A04584">
        <w:rPr>
          <w:rFonts w:ascii="宋体" w:hAnsi="宋体" w:hint="eastAsia"/>
          <w:color w:val="FF0000"/>
          <w:sz w:val="21"/>
        </w:rPr>
        <w:t>风险平价与其</w:t>
      </w:r>
      <w:proofErr w:type="gramStart"/>
      <w:r w:rsidRPr="00A04584">
        <w:rPr>
          <w:rFonts w:ascii="宋体" w:hAnsi="宋体" w:hint="eastAsia"/>
          <w:color w:val="FF0000"/>
          <w:sz w:val="21"/>
        </w:rPr>
        <w:t>他指数</w:t>
      </w:r>
      <w:proofErr w:type="gramEnd"/>
      <w:r w:rsidRPr="00A04584">
        <w:rPr>
          <w:rFonts w:ascii="宋体" w:hAnsi="宋体" w:hint="eastAsia"/>
          <w:color w:val="FF0000"/>
          <w:sz w:val="21"/>
        </w:rPr>
        <w:t>的各项比较</w:t>
      </w:r>
    </w:p>
    <w:p w14:paraId="57D64F0B" w14:textId="77777777" w:rsidR="00280EDD" w:rsidRPr="007843B9" w:rsidRDefault="00BB52EE" w:rsidP="00280EDD">
      <w:pPr>
        <w:widowControl/>
        <w:ind w:firstLine="480"/>
        <w:jc w:val="left"/>
        <w:rPr>
          <w:rFonts w:ascii="宋体" w:hAnsi="宋体"/>
          <w:szCs w:val="24"/>
        </w:rPr>
      </w:pPr>
      <w:r w:rsidRPr="007843B9">
        <w:rPr>
          <w:rFonts w:ascii="宋体" w:hAnsi="宋体" w:hint="eastAsia"/>
          <w:szCs w:val="24"/>
        </w:rPr>
        <w:t>由上表可得</w:t>
      </w:r>
      <w:r w:rsidR="00280EDD" w:rsidRPr="007843B9">
        <w:rPr>
          <w:rFonts w:ascii="宋体" w:hAnsi="宋体" w:hint="eastAsia"/>
          <w:szCs w:val="24"/>
        </w:rPr>
        <w:t>：</w:t>
      </w:r>
    </w:p>
    <w:p w14:paraId="53A32FC3" w14:textId="77777777" w:rsidR="00BB52EE" w:rsidRPr="007843B9" w:rsidRDefault="007843B9" w:rsidP="007843B9">
      <w:pPr>
        <w:pStyle w:val="a6"/>
        <w:widowControl/>
        <w:numPr>
          <w:ilvl w:val="0"/>
          <w:numId w:val="6"/>
        </w:numPr>
        <w:ind w:firstLineChars="0"/>
        <w:jc w:val="left"/>
        <w:rPr>
          <w:rFonts w:ascii="宋体" w:hAnsi="宋体"/>
          <w:szCs w:val="24"/>
        </w:rPr>
      </w:pPr>
      <w:proofErr w:type="gramStart"/>
      <w:r w:rsidRPr="007843B9">
        <w:rPr>
          <w:rFonts w:ascii="宋体" w:hAnsi="宋体" w:hint="eastAsia"/>
          <w:szCs w:val="24"/>
        </w:rPr>
        <w:t>与纯股与</w:t>
      </w:r>
      <w:proofErr w:type="gramEnd"/>
      <w:r w:rsidRPr="007843B9">
        <w:rPr>
          <w:rFonts w:ascii="宋体" w:hAnsi="宋体" w:hint="eastAsia"/>
          <w:szCs w:val="24"/>
        </w:rPr>
        <w:t>纯商品的投资组合以及股债6：4组合相比，</w:t>
      </w:r>
      <w:proofErr w:type="gramStart"/>
      <w:r w:rsidRPr="007843B9">
        <w:rPr>
          <w:rFonts w:ascii="宋体" w:hAnsi="宋体" w:hint="eastAsia"/>
          <w:szCs w:val="24"/>
        </w:rPr>
        <w:t>加商品</w:t>
      </w:r>
      <w:proofErr w:type="gramEnd"/>
      <w:r w:rsidRPr="007843B9">
        <w:rPr>
          <w:rFonts w:ascii="宋体" w:hAnsi="宋体" w:hint="eastAsia"/>
          <w:szCs w:val="24"/>
        </w:rPr>
        <w:t>的</w:t>
      </w:r>
      <w:proofErr w:type="gramStart"/>
      <w:r w:rsidRPr="007843B9">
        <w:rPr>
          <w:rFonts w:ascii="宋体" w:hAnsi="宋体" w:hint="eastAsia"/>
          <w:szCs w:val="24"/>
        </w:rPr>
        <w:t>的</w:t>
      </w:r>
      <w:proofErr w:type="gramEnd"/>
      <w:r w:rsidRPr="007843B9">
        <w:rPr>
          <w:rFonts w:ascii="宋体" w:hAnsi="宋体" w:hint="eastAsia"/>
          <w:szCs w:val="24"/>
        </w:rPr>
        <w:t>风险平价模型会降低投资组合的风险，提高整体的收益风险比（夏普比率）。</w:t>
      </w:r>
    </w:p>
    <w:p w14:paraId="366C32B8" w14:textId="77777777" w:rsidR="007843B9" w:rsidRPr="007843B9" w:rsidRDefault="007843B9" w:rsidP="007843B9">
      <w:pPr>
        <w:pStyle w:val="a6"/>
        <w:widowControl/>
        <w:numPr>
          <w:ilvl w:val="0"/>
          <w:numId w:val="6"/>
        </w:numPr>
        <w:ind w:firstLineChars="0"/>
        <w:jc w:val="left"/>
        <w:rPr>
          <w:rFonts w:ascii="宋体" w:hAnsi="宋体"/>
          <w:szCs w:val="24"/>
        </w:rPr>
      </w:pPr>
      <w:r w:rsidRPr="007843B9">
        <w:rPr>
          <w:rFonts w:ascii="宋体" w:hAnsi="宋体" w:hint="eastAsia"/>
          <w:szCs w:val="24"/>
        </w:rPr>
        <w:t>与股</w:t>
      </w:r>
      <w:proofErr w:type="gramStart"/>
      <w:r w:rsidRPr="007843B9">
        <w:rPr>
          <w:rFonts w:ascii="宋体" w:hAnsi="宋体" w:hint="eastAsia"/>
          <w:szCs w:val="24"/>
        </w:rPr>
        <w:t>债风险</w:t>
      </w:r>
      <w:proofErr w:type="gramEnd"/>
      <w:r w:rsidRPr="007843B9">
        <w:rPr>
          <w:rFonts w:ascii="宋体" w:hAnsi="宋体" w:hint="eastAsia"/>
          <w:szCs w:val="24"/>
        </w:rPr>
        <w:t>平价模型相比，加入商品之后，总体收益率波动不大，组合的波动率明显下降，夏普比率进一步上升，投资组合的效率升高。</w:t>
      </w:r>
    </w:p>
    <w:p w14:paraId="6FE27F61" w14:textId="77777777" w:rsidR="00BB52EE" w:rsidRPr="007843B9" w:rsidRDefault="00BB52EE" w:rsidP="00280EDD">
      <w:pPr>
        <w:widowControl/>
        <w:ind w:firstLine="440"/>
        <w:jc w:val="left"/>
        <w:rPr>
          <w:rFonts w:ascii="等线" w:eastAsia="等线" w:hAnsi="等线" w:cs="宋体"/>
          <w:color w:val="000000"/>
          <w:kern w:val="0"/>
          <w:sz w:val="22"/>
        </w:rPr>
      </w:pPr>
    </w:p>
    <w:p w14:paraId="5F3D9177" w14:textId="77777777" w:rsidR="003D4D0E" w:rsidRPr="003D4D0E" w:rsidRDefault="003D4D0E" w:rsidP="003D4D0E">
      <w:pPr>
        <w:widowControl/>
        <w:ind w:firstLine="440"/>
        <w:jc w:val="left"/>
        <w:rPr>
          <w:rFonts w:ascii="等线" w:eastAsia="等线" w:hAnsi="等线" w:cs="宋体"/>
          <w:color w:val="000000"/>
          <w:kern w:val="0"/>
          <w:sz w:val="22"/>
        </w:rPr>
      </w:pPr>
    </w:p>
    <w:p w14:paraId="58026B5B" w14:textId="77777777" w:rsidR="003D4D0E" w:rsidRDefault="001C0DB5" w:rsidP="001C0DB5">
      <w:pPr>
        <w:ind w:firstLine="480"/>
        <w:jc w:val="left"/>
        <w:rPr>
          <w:rFonts w:ascii="宋体" w:hAnsi="宋体"/>
          <w:szCs w:val="24"/>
        </w:rPr>
      </w:pPr>
      <w:r>
        <w:rPr>
          <w:rFonts w:ascii="宋体" w:hAnsi="宋体" w:hint="eastAsia"/>
          <w:szCs w:val="24"/>
        </w:rPr>
        <w:t>问题：</w:t>
      </w:r>
    </w:p>
    <w:p w14:paraId="6FDD55D3" w14:textId="77777777" w:rsidR="001C0DB5" w:rsidRDefault="001C0DB5" w:rsidP="001C0DB5">
      <w:pPr>
        <w:ind w:firstLine="480"/>
        <w:jc w:val="left"/>
        <w:rPr>
          <w:rFonts w:ascii="宋体" w:hAnsi="宋体"/>
          <w:szCs w:val="24"/>
        </w:rPr>
      </w:pPr>
      <w:r>
        <w:rPr>
          <w:rFonts w:ascii="宋体" w:hAnsi="宋体" w:hint="eastAsia"/>
          <w:szCs w:val="24"/>
        </w:rPr>
        <w:t>南华工业品收益率指数太小，农业品出现负数</w:t>
      </w:r>
    </w:p>
    <w:p w14:paraId="193282B4" w14:textId="77777777" w:rsidR="001C0DB5" w:rsidRPr="00E81ED5" w:rsidRDefault="001C0DB5" w:rsidP="001C0DB5">
      <w:pPr>
        <w:ind w:firstLineChars="0" w:firstLine="0"/>
        <w:jc w:val="left"/>
        <w:rPr>
          <w:rFonts w:ascii="宋体" w:hAnsi="宋体"/>
          <w:szCs w:val="24"/>
        </w:rPr>
      </w:pPr>
      <w:r>
        <w:rPr>
          <w:rFonts w:ascii="宋体" w:hAnsi="宋体" w:hint="eastAsia"/>
          <w:szCs w:val="24"/>
        </w:rPr>
        <w:t>中寨的方差太小</w:t>
      </w:r>
    </w:p>
    <w:sectPr w:rsidR="001C0DB5" w:rsidRPr="00E81E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23D34" w14:textId="77777777" w:rsidR="00AD4881" w:rsidRDefault="00AD4881" w:rsidP="00E40F2F">
      <w:pPr>
        <w:ind w:firstLine="480"/>
      </w:pPr>
      <w:r>
        <w:separator/>
      </w:r>
    </w:p>
  </w:endnote>
  <w:endnote w:type="continuationSeparator" w:id="0">
    <w:p w14:paraId="6A4C74DF" w14:textId="77777777" w:rsidR="00AD4881" w:rsidRDefault="00AD4881" w:rsidP="00E40F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苏新诗柳楷简体">
    <w:altName w:val="微软雅黑"/>
    <w:charset w:val="86"/>
    <w:family w:val="auto"/>
    <w:pitch w:val="variable"/>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173CB" w14:textId="77777777" w:rsidR="00AD4881" w:rsidRDefault="00AD4881" w:rsidP="00E40F2F">
      <w:pPr>
        <w:ind w:firstLine="480"/>
      </w:pPr>
      <w:r>
        <w:separator/>
      </w:r>
    </w:p>
  </w:footnote>
  <w:footnote w:type="continuationSeparator" w:id="0">
    <w:p w14:paraId="68FF320C" w14:textId="77777777" w:rsidR="00AD4881" w:rsidRDefault="00AD4881" w:rsidP="00E40F2F">
      <w:pPr>
        <w:ind w:firstLine="480"/>
      </w:pPr>
      <w:r>
        <w:continuationSeparator/>
      </w:r>
    </w:p>
  </w:footnote>
  <w:footnote w:id="1">
    <w:p w14:paraId="1E3A9D3A" w14:textId="77777777" w:rsidR="007843B9" w:rsidRDefault="007843B9">
      <w:pPr>
        <w:pStyle w:val="ab"/>
        <w:ind w:firstLine="360"/>
      </w:pPr>
      <w:r>
        <w:rPr>
          <w:rStyle w:val="ad"/>
        </w:rPr>
        <w:footnoteRef/>
      </w:r>
      <w:r>
        <w:t xml:space="preserve"> </w:t>
      </w:r>
      <w:r>
        <w:rPr>
          <w:rFonts w:hint="eastAsia"/>
        </w:rPr>
        <w:t>利用沪深</w:t>
      </w:r>
      <w:r>
        <w:rPr>
          <w:rFonts w:hint="eastAsia"/>
        </w:rPr>
        <w:t>3</w:t>
      </w:r>
      <w:r>
        <w:t>00</w:t>
      </w:r>
      <w:r>
        <w:rPr>
          <w:rFonts w:hint="eastAsia"/>
        </w:rPr>
        <w:t>指数来代表大盘股</w:t>
      </w:r>
    </w:p>
  </w:footnote>
  <w:footnote w:id="2">
    <w:p w14:paraId="49AE82C0" w14:textId="77777777" w:rsidR="007843B9" w:rsidRDefault="007843B9">
      <w:pPr>
        <w:pStyle w:val="ab"/>
        <w:ind w:firstLine="360"/>
      </w:pPr>
      <w:r>
        <w:rPr>
          <w:rStyle w:val="ad"/>
        </w:rPr>
        <w:footnoteRef/>
      </w:r>
      <w:r>
        <w:t xml:space="preserve"> </w:t>
      </w:r>
      <w:r>
        <w:rPr>
          <w:rFonts w:hint="eastAsia"/>
        </w:rPr>
        <w:t>具体推导过程已整理到附录</w:t>
      </w:r>
      <w:r>
        <w:rPr>
          <w:rFonts w:hint="eastAsia"/>
        </w:rPr>
        <w:t>2</w:t>
      </w:r>
      <w:r>
        <w:rPr>
          <w:rFonts w:hint="eastAsia"/>
        </w:rPr>
        <w:t>中</w:t>
      </w:r>
    </w:p>
  </w:footnote>
  <w:footnote w:id="3">
    <w:p w14:paraId="46DAE0EF" w14:textId="77777777" w:rsidR="007843B9" w:rsidRDefault="007843B9">
      <w:pPr>
        <w:pStyle w:val="ab"/>
        <w:ind w:firstLine="360"/>
      </w:pPr>
      <w:r>
        <w:rPr>
          <w:rStyle w:val="ad"/>
        </w:rPr>
        <w:footnoteRef/>
      </w:r>
      <w:r>
        <w:t xml:space="preserve"> </w:t>
      </w:r>
      <w:r>
        <w:rPr>
          <w:rFonts w:hint="eastAsia"/>
        </w:rPr>
        <w:t>7</w:t>
      </w:r>
      <w:r>
        <w:t>0</w:t>
      </w:r>
      <w:r>
        <w:rPr>
          <w:rFonts w:hint="eastAsia"/>
        </w:rPr>
        <w:t>%</w:t>
      </w:r>
      <w:r>
        <w:rPr>
          <w:rFonts w:hint="eastAsia"/>
        </w:rPr>
        <w:t>是</w:t>
      </w:r>
      <w:proofErr w:type="gramStart"/>
      <w:r>
        <w:rPr>
          <w:rFonts w:hint="eastAsia"/>
        </w:rPr>
        <w:t>对质押率的</w:t>
      </w:r>
      <w:proofErr w:type="gramEnd"/>
      <w:r>
        <w:rPr>
          <w:rFonts w:hint="eastAsia"/>
        </w:rPr>
        <w:t>长期保守估计</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452"/>
    <w:multiLevelType w:val="hybridMultilevel"/>
    <w:tmpl w:val="95CAEB02"/>
    <w:lvl w:ilvl="0" w:tplc="73FE71A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F21AC7"/>
    <w:multiLevelType w:val="hybridMultilevel"/>
    <w:tmpl w:val="08A28886"/>
    <w:lvl w:ilvl="0" w:tplc="6032C3A4">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46AD22D2"/>
    <w:multiLevelType w:val="hybridMultilevel"/>
    <w:tmpl w:val="4E1E3EC4"/>
    <w:lvl w:ilvl="0" w:tplc="EDB83290">
      <w:start w:val="1"/>
      <w:numFmt w:val="decimalEnclosedCircle"/>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 w15:restartNumberingAfterBreak="0">
    <w:nsid w:val="5AC90ABE"/>
    <w:multiLevelType w:val="hybridMultilevel"/>
    <w:tmpl w:val="7682EE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0FA162E"/>
    <w:multiLevelType w:val="hybridMultilevel"/>
    <w:tmpl w:val="7292DAE6"/>
    <w:lvl w:ilvl="0" w:tplc="5DFAB422">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E766B4"/>
    <w:multiLevelType w:val="hybridMultilevel"/>
    <w:tmpl w:val="C62C24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8B8"/>
    <w:rsid w:val="0008604C"/>
    <w:rsid w:val="00097F53"/>
    <w:rsid w:val="000B033F"/>
    <w:rsid w:val="000C7225"/>
    <w:rsid w:val="001269F5"/>
    <w:rsid w:val="00135264"/>
    <w:rsid w:val="001B1942"/>
    <w:rsid w:val="001B5399"/>
    <w:rsid w:val="001B7FBB"/>
    <w:rsid w:val="001C0DB5"/>
    <w:rsid w:val="001F75A9"/>
    <w:rsid w:val="00262EC5"/>
    <w:rsid w:val="002761E8"/>
    <w:rsid w:val="00280EDD"/>
    <w:rsid w:val="002D6054"/>
    <w:rsid w:val="003068B8"/>
    <w:rsid w:val="0035540B"/>
    <w:rsid w:val="00386D91"/>
    <w:rsid w:val="003C3E0B"/>
    <w:rsid w:val="003D4D0E"/>
    <w:rsid w:val="0044753F"/>
    <w:rsid w:val="0045208F"/>
    <w:rsid w:val="00456A12"/>
    <w:rsid w:val="00485ED3"/>
    <w:rsid w:val="004C56CF"/>
    <w:rsid w:val="00515AD5"/>
    <w:rsid w:val="0057441B"/>
    <w:rsid w:val="005B2EB1"/>
    <w:rsid w:val="00606C8F"/>
    <w:rsid w:val="00616765"/>
    <w:rsid w:val="00655078"/>
    <w:rsid w:val="007843B9"/>
    <w:rsid w:val="00797C52"/>
    <w:rsid w:val="007B1800"/>
    <w:rsid w:val="007E01BE"/>
    <w:rsid w:val="008019D2"/>
    <w:rsid w:val="008B02A2"/>
    <w:rsid w:val="008D1CDE"/>
    <w:rsid w:val="00923D62"/>
    <w:rsid w:val="00960469"/>
    <w:rsid w:val="009B6997"/>
    <w:rsid w:val="009E08D6"/>
    <w:rsid w:val="009F4786"/>
    <w:rsid w:val="00A04584"/>
    <w:rsid w:val="00AD4881"/>
    <w:rsid w:val="00AD6A47"/>
    <w:rsid w:val="00AD73DF"/>
    <w:rsid w:val="00B837DD"/>
    <w:rsid w:val="00BB24D8"/>
    <w:rsid w:val="00BB52EE"/>
    <w:rsid w:val="00BF3CE2"/>
    <w:rsid w:val="00C06182"/>
    <w:rsid w:val="00C4395D"/>
    <w:rsid w:val="00C74729"/>
    <w:rsid w:val="00C7671B"/>
    <w:rsid w:val="00C90EB4"/>
    <w:rsid w:val="00D658D6"/>
    <w:rsid w:val="00DB61F8"/>
    <w:rsid w:val="00DC2BA8"/>
    <w:rsid w:val="00E05313"/>
    <w:rsid w:val="00E17033"/>
    <w:rsid w:val="00E34AE3"/>
    <w:rsid w:val="00E40F2F"/>
    <w:rsid w:val="00E731B1"/>
    <w:rsid w:val="00E81ED5"/>
    <w:rsid w:val="00E944BA"/>
    <w:rsid w:val="00EA7853"/>
    <w:rsid w:val="00EB2D08"/>
    <w:rsid w:val="00EB6D42"/>
    <w:rsid w:val="00EB752F"/>
    <w:rsid w:val="00F5190F"/>
    <w:rsid w:val="00FE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D276B"/>
  <w15:chartTrackingRefBased/>
  <w15:docId w15:val="{373279B1-D779-48E1-A554-DE04470D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843B9"/>
    <w:pPr>
      <w:widowControl w:val="0"/>
      <w:ind w:firstLineChars="200" w:firstLine="200"/>
      <w:jc w:val="both"/>
    </w:pPr>
    <w:rPr>
      <w:rFonts w:eastAsia="宋体"/>
      <w:sz w:val="24"/>
    </w:rPr>
  </w:style>
  <w:style w:type="paragraph" w:styleId="1">
    <w:name w:val="heading 1"/>
    <w:basedOn w:val="a"/>
    <w:next w:val="a"/>
    <w:link w:val="10"/>
    <w:uiPriority w:val="9"/>
    <w:qFormat/>
    <w:rsid w:val="0035540B"/>
    <w:pPr>
      <w:keepNext/>
      <w:keepLines/>
      <w:spacing w:before="340" w:after="33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17033"/>
    <w:rPr>
      <w:rFonts w:asciiTheme="majorHAnsi" w:eastAsia="黑体" w:hAnsiTheme="majorHAnsi" w:cstheme="majorBidi"/>
      <w:sz w:val="20"/>
      <w:szCs w:val="20"/>
    </w:rPr>
  </w:style>
  <w:style w:type="paragraph" w:styleId="a4">
    <w:name w:val="Balloon Text"/>
    <w:basedOn w:val="a"/>
    <w:link w:val="a5"/>
    <w:uiPriority w:val="99"/>
    <w:semiHidden/>
    <w:unhideWhenUsed/>
    <w:rsid w:val="0044753F"/>
    <w:rPr>
      <w:sz w:val="18"/>
      <w:szCs w:val="18"/>
    </w:rPr>
  </w:style>
  <w:style w:type="character" w:customStyle="1" w:styleId="a5">
    <w:name w:val="批注框文本 字符"/>
    <w:basedOn w:val="a0"/>
    <w:link w:val="a4"/>
    <w:uiPriority w:val="99"/>
    <w:semiHidden/>
    <w:rsid w:val="0044753F"/>
    <w:rPr>
      <w:sz w:val="18"/>
      <w:szCs w:val="18"/>
    </w:rPr>
  </w:style>
  <w:style w:type="character" w:customStyle="1" w:styleId="10">
    <w:name w:val="标题 1 字符"/>
    <w:basedOn w:val="a0"/>
    <w:link w:val="1"/>
    <w:uiPriority w:val="9"/>
    <w:rsid w:val="0035540B"/>
    <w:rPr>
      <w:b/>
      <w:bCs/>
      <w:kern w:val="44"/>
      <w:sz w:val="28"/>
      <w:szCs w:val="44"/>
    </w:rPr>
  </w:style>
  <w:style w:type="paragraph" w:styleId="a6">
    <w:name w:val="List Paragraph"/>
    <w:basedOn w:val="a"/>
    <w:uiPriority w:val="34"/>
    <w:qFormat/>
    <w:rsid w:val="000C7225"/>
    <w:pPr>
      <w:ind w:firstLine="420"/>
    </w:pPr>
  </w:style>
  <w:style w:type="paragraph" w:styleId="a7">
    <w:name w:val="header"/>
    <w:basedOn w:val="a"/>
    <w:link w:val="a8"/>
    <w:uiPriority w:val="99"/>
    <w:unhideWhenUsed/>
    <w:rsid w:val="00E40F2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0F2F"/>
    <w:rPr>
      <w:sz w:val="18"/>
      <w:szCs w:val="18"/>
    </w:rPr>
  </w:style>
  <w:style w:type="paragraph" w:styleId="a9">
    <w:name w:val="footer"/>
    <w:basedOn w:val="a"/>
    <w:link w:val="aa"/>
    <w:uiPriority w:val="99"/>
    <w:unhideWhenUsed/>
    <w:rsid w:val="00E40F2F"/>
    <w:pPr>
      <w:tabs>
        <w:tab w:val="center" w:pos="4153"/>
        <w:tab w:val="right" w:pos="8306"/>
      </w:tabs>
      <w:snapToGrid w:val="0"/>
      <w:jc w:val="left"/>
    </w:pPr>
    <w:rPr>
      <w:sz w:val="18"/>
      <w:szCs w:val="18"/>
    </w:rPr>
  </w:style>
  <w:style w:type="character" w:customStyle="1" w:styleId="aa">
    <w:name w:val="页脚 字符"/>
    <w:basedOn w:val="a0"/>
    <w:link w:val="a9"/>
    <w:uiPriority w:val="99"/>
    <w:rsid w:val="00E40F2F"/>
    <w:rPr>
      <w:sz w:val="18"/>
      <w:szCs w:val="18"/>
    </w:rPr>
  </w:style>
  <w:style w:type="paragraph" w:styleId="ab">
    <w:name w:val="footnote text"/>
    <w:basedOn w:val="a"/>
    <w:link w:val="ac"/>
    <w:uiPriority w:val="99"/>
    <w:semiHidden/>
    <w:unhideWhenUsed/>
    <w:rsid w:val="009F4786"/>
    <w:pPr>
      <w:snapToGrid w:val="0"/>
      <w:jc w:val="left"/>
    </w:pPr>
    <w:rPr>
      <w:sz w:val="18"/>
      <w:szCs w:val="18"/>
    </w:rPr>
  </w:style>
  <w:style w:type="character" w:customStyle="1" w:styleId="ac">
    <w:name w:val="脚注文本 字符"/>
    <w:basedOn w:val="a0"/>
    <w:link w:val="ab"/>
    <w:uiPriority w:val="99"/>
    <w:semiHidden/>
    <w:rsid w:val="009F4786"/>
    <w:rPr>
      <w:sz w:val="18"/>
      <w:szCs w:val="18"/>
    </w:rPr>
  </w:style>
  <w:style w:type="character" w:styleId="ad">
    <w:name w:val="footnote reference"/>
    <w:basedOn w:val="a0"/>
    <w:uiPriority w:val="99"/>
    <w:semiHidden/>
    <w:unhideWhenUsed/>
    <w:rsid w:val="009F4786"/>
    <w:rPr>
      <w:vertAlign w:val="superscript"/>
    </w:rPr>
  </w:style>
  <w:style w:type="character" w:styleId="ae">
    <w:name w:val="Placeholder Text"/>
    <w:basedOn w:val="a0"/>
    <w:uiPriority w:val="99"/>
    <w:semiHidden/>
    <w:rsid w:val="009F47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2685">
      <w:bodyDiv w:val="1"/>
      <w:marLeft w:val="0"/>
      <w:marRight w:val="0"/>
      <w:marTop w:val="0"/>
      <w:marBottom w:val="0"/>
      <w:divBdr>
        <w:top w:val="none" w:sz="0" w:space="0" w:color="auto"/>
        <w:left w:val="none" w:sz="0" w:space="0" w:color="auto"/>
        <w:bottom w:val="none" w:sz="0" w:space="0" w:color="auto"/>
        <w:right w:val="none" w:sz="0" w:space="0" w:color="auto"/>
      </w:divBdr>
    </w:div>
    <w:div w:id="261689164">
      <w:bodyDiv w:val="1"/>
      <w:marLeft w:val="0"/>
      <w:marRight w:val="0"/>
      <w:marTop w:val="0"/>
      <w:marBottom w:val="0"/>
      <w:divBdr>
        <w:top w:val="none" w:sz="0" w:space="0" w:color="auto"/>
        <w:left w:val="none" w:sz="0" w:space="0" w:color="auto"/>
        <w:bottom w:val="none" w:sz="0" w:space="0" w:color="auto"/>
        <w:right w:val="none" w:sz="0" w:space="0" w:color="auto"/>
      </w:divBdr>
    </w:div>
    <w:div w:id="387804040">
      <w:bodyDiv w:val="1"/>
      <w:marLeft w:val="0"/>
      <w:marRight w:val="0"/>
      <w:marTop w:val="0"/>
      <w:marBottom w:val="0"/>
      <w:divBdr>
        <w:top w:val="none" w:sz="0" w:space="0" w:color="auto"/>
        <w:left w:val="none" w:sz="0" w:space="0" w:color="auto"/>
        <w:bottom w:val="none" w:sz="0" w:space="0" w:color="auto"/>
        <w:right w:val="none" w:sz="0" w:space="0" w:color="auto"/>
      </w:divBdr>
    </w:div>
    <w:div w:id="477917353">
      <w:bodyDiv w:val="1"/>
      <w:marLeft w:val="0"/>
      <w:marRight w:val="0"/>
      <w:marTop w:val="0"/>
      <w:marBottom w:val="0"/>
      <w:divBdr>
        <w:top w:val="none" w:sz="0" w:space="0" w:color="auto"/>
        <w:left w:val="none" w:sz="0" w:space="0" w:color="auto"/>
        <w:bottom w:val="none" w:sz="0" w:space="0" w:color="auto"/>
        <w:right w:val="none" w:sz="0" w:space="0" w:color="auto"/>
      </w:divBdr>
    </w:div>
    <w:div w:id="524950486">
      <w:bodyDiv w:val="1"/>
      <w:marLeft w:val="0"/>
      <w:marRight w:val="0"/>
      <w:marTop w:val="0"/>
      <w:marBottom w:val="0"/>
      <w:divBdr>
        <w:top w:val="none" w:sz="0" w:space="0" w:color="auto"/>
        <w:left w:val="none" w:sz="0" w:space="0" w:color="auto"/>
        <w:bottom w:val="none" w:sz="0" w:space="0" w:color="auto"/>
        <w:right w:val="none" w:sz="0" w:space="0" w:color="auto"/>
      </w:divBdr>
    </w:div>
    <w:div w:id="625820025">
      <w:bodyDiv w:val="1"/>
      <w:marLeft w:val="0"/>
      <w:marRight w:val="0"/>
      <w:marTop w:val="0"/>
      <w:marBottom w:val="0"/>
      <w:divBdr>
        <w:top w:val="none" w:sz="0" w:space="0" w:color="auto"/>
        <w:left w:val="none" w:sz="0" w:space="0" w:color="auto"/>
        <w:bottom w:val="none" w:sz="0" w:space="0" w:color="auto"/>
        <w:right w:val="none" w:sz="0" w:space="0" w:color="auto"/>
      </w:divBdr>
    </w:div>
    <w:div w:id="640579020">
      <w:bodyDiv w:val="1"/>
      <w:marLeft w:val="0"/>
      <w:marRight w:val="0"/>
      <w:marTop w:val="0"/>
      <w:marBottom w:val="0"/>
      <w:divBdr>
        <w:top w:val="none" w:sz="0" w:space="0" w:color="auto"/>
        <w:left w:val="none" w:sz="0" w:space="0" w:color="auto"/>
        <w:bottom w:val="none" w:sz="0" w:space="0" w:color="auto"/>
        <w:right w:val="none" w:sz="0" w:space="0" w:color="auto"/>
      </w:divBdr>
    </w:div>
    <w:div w:id="708460202">
      <w:bodyDiv w:val="1"/>
      <w:marLeft w:val="0"/>
      <w:marRight w:val="0"/>
      <w:marTop w:val="0"/>
      <w:marBottom w:val="0"/>
      <w:divBdr>
        <w:top w:val="none" w:sz="0" w:space="0" w:color="auto"/>
        <w:left w:val="none" w:sz="0" w:space="0" w:color="auto"/>
        <w:bottom w:val="none" w:sz="0" w:space="0" w:color="auto"/>
        <w:right w:val="none" w:sz="0" w:space="0" w:color="auto"/>
      </w:divBdr>
    </w:div>
    <w:div w:id="823278818">
      <w:bodyDiv w:val="1"/>
      <w:marLeft w:val="0"/>
      <w:marRight w:val="0"/>
      <w:marTop w:val="0"/>
      <w:marBottom w:val="0"/>
      <w:divBdr>
        <w:top w:val="none" w:sz="0" w:space="0" w:color="auto"/>
        <w:left w:val="none" w:sz="0" w:space="0" w:color="auto"/>
        <w:bottom w:val="none" w:sz="0" w:space="0" w:color="auto"/>
        <w:right w:val="none" w:sz="0" w:space="0" w:color="auto"/>
      </w:divBdr>
    </w:div>
    <w:div w:id="1439640368">
      <w:bodyDiv w:val="1"/>
      <w:marLeft w:val="0"/>
      <w:marRight w:val="0"/>
      <w:marTop w:val="0"/>
      <w:marBottom w:val="0"/>
      <w:divBdr>
        <w:top w:val="none" w:sz="0" w:space="0" w:color="auto"/>
        <w:left w:val="none" w:sz="0" w:space="0" w:color="auto"/>
        <w:bottom w:val="none" w:sz="0" w:space="0" w:color="auto"/>
        <w:right w:val="none" w:sz="0" w:space="0" w:color="auto"/>
      </w:divBdr>
    </w:div>
    <w:div w:id="1529444154">
      <w:bodyDiv w:val="1"/>
      <w:marLeft w:val="0"/>
      <w:marRight w:val="0"/>
      <w:marTop w:val="0"/>
      <w:marBottom w:val="0"/>
      <w:divBdr>
        <w:top w:val="none" w:sz="0" w:space="0" w:color="auto"/>
        <w:left w:val="none" w:sz="0" w:space="0" w:color="auto"/>
        <w:bottom w:val="none" w:sz="0" w:space="0" w:color="auto"/>
        <w:right w:val="none" w:sz="0" w:space="0" w:color="auto"/>
      </w:divBdr>
    </w:div>
    <w:div w:id="1540048720">
      <w:bodyDiv w:val="1"/>
      <w:marLeft w:val="0"/>
      <w:marRight w:val="0"/>
      <w:marTop w:val="0"/>
      <w:marBottom w:val="0"/>
      <w:divBdr>
        <w:top w:val="none" w:sz="0" w:space="0" w:color="auto"/>
        <w:left w:val="none" w:sz="0" w:space="0" w:color="auto"/>
        <w:bottom w:val="none" w:sz="0" w:space="0" w:color="auto"/>
        <w:right w:val="none" w:sz="0" w:space="0" w:color="auto"/>
      </w:divBdr>
    </w:div>
    <w:div w:id="1908957394">
      <w:bodyDiv w:val="1"/>
      <w:marLeft w:val="0"/>
      <w:marRight w:val="0"/>
      <w:marTop w:val="0"/>
      <w:marBottom w:val="0"/>
      <w:divBdr>
        <w:top w:val="none" w:sz="0" w:space="0" w:color="auto"/>
        <w:left w:val="none" w:sz="0" w:space="0" w:color="auto"/>
        <w:bottom w:val="none" w:sz="0" w:space="0" w:color="auto"/>
        <w:right w:val="none" w:sz="0" w:space="0" w:color="auto"/>
      </w:divBdr>
    </w:div>
    <w:div w:id="20461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D023E-E127-4F98-991E-1BF283EF1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1450513488@qq.com</dc:creator>
  <cp:keywords/>
  <dc:description/>
  <cp:lastModifiedBy>dell</cp:lastModifiedBy>
  <cp:revision>5</cp:revision>
  <cp:lastPrinted>2019-09-06T02:46:00Z</cp:lastPrinted>
  <dcterms:created xsi:type="dcterms:W3CDTF">2019-04-15T04:58:00Z</dcterms:created>
  <dcterms:modified xsi:type="dcterms:W3CDTF">2019-09-06T02:47:00Z</dcterms:modified>
</cp:coreProperties>
</file>