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52"/>
        </w:rPr>
        <w:t>墨译漫画小说智能翻译软件</w:t>
      </w:r>
    </w:p>
    <w:p>
      <w:pPr>
        <w:jc w:val="center"/>
      </w:pPr>
      <w:r>
        <w:rPr>
          <w:rFonts w:ascii="黑体" w:hAnsi="黑体" w:eastAsia="黑体"/>
          <w:b/>
          <w:sz w:val="40"/>
        </w:rPr>
        <w:t>软件说明书</w:t>
      </w:r>
    </w:p>
    <w:p>
      <w:pPr>
        <w:jc w:val="center"/>
      </w:pPr>
      <w:r>
        <w:rPr>
          <w:rFonts w:ascii="宋体" w:hAnsi="宋体" w:eastAsia="宋体"/>
          <w:b w:val="0"/>
          <w:sz w:val="24"/>
        </w:rPr>
        <w:t>（计算机软件著作权登记文档鉴别材料）</w:t>
      </w:r>
    </w:p>
    <w:p/>
    <w:p/>
    <w:p/>
    <w:p/>
    <w:p/>
    <w:p/>
    <w:p>
      <w:pPr>
        <w:jc w:val="center"/>
      </w:pPr>
      <w:r>
        <w:rPr>
          <w:rFonts w:ascii="宋体" w:hAnsi="宋体" w:eastAsia="宋体"/>
          <w:b w:val="0"/>
          <w:sz w:val="22"/>
        </w:rPr>
        <w:t>软件版本：V1.1.0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著作权人：薛朝坤</w:t>
      </w:r>
    </w:p>
    <w:p>
      <w:pPr>
        <w:jc w:val="center"/>
      </w:pPr>
      <w:r>
        <w:rPr>
          <w:rFonts w:ascii="宋体" w:hAnsi="宋体" w:eastAsia="宋体"/>
          <w:b w:val="0"/>
          <w:sz w:val="22"/>
        </w:rPr>
        <w:t>编制日期：2026年10月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目录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10 版权与合规说明</w:t>
      </w:r>
    </w:p>
    <w:p>
      <w:r>
        <w:br w:type="page"/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 软件概述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墨译漫画小说智能翻译软件是面向 HarmonyOS NEXT 的本地漫画、小说与文本翻译工具。软件支持导入本地漫画图片和 EPUB/TXT 小说，使用本地 OCR 识别漫画文字，结合在线翻译服务或本地 llama.cpp 模型生成译文，并把译文按原文版式覆盖回页面。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Stage 模型与多 HAR 模块架构：entry 负责页面与交互，coremodel 负责数据模型，coreocr 负责文字识别，coretranslate 负责翻译引擎，corerender 负责排版绘制，corenovel 负责小说解析。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软件的主要目标是把漫画翻译流程从多步手工操作收敛为：导入、阅读、翻译、校对、导出。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1.1 编写目的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本说明书用于说明墨译漫画小说智能翻译软件的功能范围、运行环境、操作流程、模块设计和异常处理，作为软件著作权登记文档鉴别材料，同时供用户和审查人员了解软件的实际能力。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1.2 读者对象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目标读者包括：使用本软件阅读和翻译漫画/小说的普通用户、进行应用商店审核的人员、软件著作权登记审查人员，以及后续维护本项目的开发人员。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1.3 术语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OCR：光学字符识别；det：文本检测模型；rec：文本识别模型；覆盖层：按原页面坐标绘制译文文字的透明画布；气泡：漫画中承载对话的闭合区域；术语表：用户导入的专名替换表。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2 运行环境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硬件环境：HarmonyOS NEXT 手机、平板或 2in1 设备；建议内存 4GB 以上；本地 OCR 与本地翻译模型建议 8GB 以上。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软件环境：HarmonyOS NEXT API 26 及以上；系统需具备图片解码、文件选择、网络访问能力。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开发环境：DevEco Studio 6、ArkTS/ArkUI、C++ NAPI、CMake。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网络环境：使用在线翻译时需要网络；本地 OCR 与本地翻译可离线运行。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软件运行环境汇总如下表。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项目</w:t>
            </w:r>
          </w:p>
        </w:tc>
        <w:tc>
          <w:tcPr>
            <w:tcW w:type="dxa" w:w="4819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要求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设备类型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HarmonyOS NEXT 手机、平板、2in1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系统版本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API 26 及以上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内存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建议 4GB 以上；本地 OCR/翻译建议 8GB 以上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存储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安装包约 93MB；本地模型另计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网络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在线翻译需要网络；本地模式可离线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文件能力</w:t>
            </w:r>
          </w:p>
        </w:tc>
        <w:tc>
          <w:tcPr>
            <w:tcW w:type="dxa" w:w="4819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本地文件选择、图片解码、应用沙箱读写</w:t>
            </w:r>
          </w:p>
        </w:tc>
      </w:tr>
    </w:tbl>
    <w:p>
      <w:pPr>
        <w:spacing w:after="0"/>
      </w:pP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3 安装与启动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通过应用商店或调试安装 HAP 后，桌面出现“墨译 Moyi”图标。首次启动进入书架页，底部为书架、翻译、历史、我的四个入口。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首次使用漫画翻译前，需要在“设置 → OCR”下载本地 PP-OCRv6 检测与识别模型；使用本地翻译时，需要在“模型管理”导入 GGUF 翻译模型。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软件不强制注册账号，书籍、阅读进度、术语表、翻译记忆和偏好保存在本机。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3.1 安装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通过华为应用市场或调试 HAP 安装后，桌面显示“墨译 Moyi”图标。首次启动进入书架页；如系统提示通知/网络权限，可按需授权，拒绝非必要权限不影响本地阅读。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3.2 首次配置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使用本地 OCR 前，进入“设置 → OCR → 本地 PP-OCRv6”，点击“下载”，等待检测和识别模型下载完成；使用本地翻译前，在“模型管理”导入 GGUF 模型。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3.3 导入第一本漫画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在书架页点击“导入”，选择 ZIP/CBZ、图片目录或相册图片；导入完成后点击漫画卡片进入阅读器。导入失败时检查文件是否完整、格式是否受支持。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20000" cy="75684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ne-shel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568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图：手机书架与导入入口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4 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漫画书架：导入本地漫画压缩包或图片目录，按漫画分组展示，支持最近阅读、未翻译筛选和整本预翻译入口。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漫画阅读：支持左到右、右到左、竖排整页、连续 Webtoon 四种阅读流，支持翻页动画、背景色、反色、灰度、亮度、对比度和自动翻页。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与翻译：本地 PP-OCRv6 检测文本行，原生 ONNX Runtime 识别，按空间位置合并气泡，调用在线或本地翻译引擎，按页面坐标排版覆盖。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气泡校对：长按单行气泡打开校对框，修改译文后立即保存并重绘。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小说翻译：导入 EPUB/TXT，按章节解析、分页阅读并翻译。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导出：支持原文/译文/双语 ZIP，以及译文 PDF；导出文件保存在应用文件目录或通过系统保存选择器保存。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术语表与翻译记忆：支持导入 JSON 术语表，翻译前替换专名；页翻译完成后自动积累翻译记忆。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多设备布局：手机使用底部标签栏，平板/2in1 使用左侧导航轨，支持沉浸光感材质和宽屏双页。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4.1 功能清单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功能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入口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漫画导入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书架 → 导入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ZIP/CBZ、图片目录、相册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小说导入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书架 → 小说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TXT/EPUB 等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整页翻译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阅读器 → 翻译本页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OCR + 翻译 + 覆盖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气泡校对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长按单行气泡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修改译文并保存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导出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阅读器 → 导出ZIP/PDF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原文/译文/双语/PDF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术语表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 → 翻译 → 术语表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JSON 导入，最长优先替换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本地模型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设置 → OCR / 模型管理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PP-OCRv6、GGUF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der-original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图：漫画阅读原文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cr-overlay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图：译文覆盖层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5 操作流程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5.1 导入漫画：在书架页点击“导入”，选择漫画压缩包或图片目录；导入完成后在书架卡片进入阅读。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5.2 翻译本页：在阅读页点击页面中央打开菜单，选择“翻译本页”；进度条依次显示 OCR、翻译、保存阶段。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5.3 校对：长按需要修改的单行气泡，在“校对译文”输入框中修改并保存；合并气泡暂不支持逐行编辑。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5.4 导出：点击“导出ZIP”选择仅原文、仅译文、双语对照；或点击“导出 PDF”生成译文 PDF。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5.5 术语表：设置 → 翻译 → 术语表 → 导入 JSON，格式为 [{ "s": "原文", "t": "译文" }]。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5.6 本地模型：设置 → OCR 下载检测/识别模型；模型管理导入 .gguf 翻译模型，导入后复制到应用沙箱。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5.1 翻译流程与预期结果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点击“翻译本页”后，页面先显示“解码页面”，随后进入“识别文字”；OCR 完成后按行显示“翻译 x/y 行”，最后显示“保存”。成功后原文位置出现译文覆盖层，失败行保留原文。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翻译过程中可继续翻页；批量翻译在后台按页执行，进度面板显示当前页阶段。取消或退出页面时，已完成页的翻译结果仍会保存。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211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xt-translat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21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图：文本翻译页面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6 多设备与沉浸式界面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软件使用断点监听窗口宽度：小屏使用底部标签栏，大屏使用左侧导航轨；阅读器在 lg 断点下支持双页并排。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沉浸光感使用 ArkUI ImmersiveMaterial；标签栏与导航轨关闭交互光效，避免阅读时干扰。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阅读器背景、亮度、字体大小、行距、横竖排和阅读方向均可独立设置，并保存在本机。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6.1 断点与布局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断点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宽度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布局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sm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小于 600vp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手机底部标签栏，单列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md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600–839vp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平板/折叠屏，左侧导航轨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lg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840vp 及以上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宽屏双列/双页，阅读器可并排</w:t>
            </w:r>
          </w:p>
        </w:tc>
      </w:tr>
    </w:tbl>
    <w:p>
      <w:pPr>
        <w:spacing w:after="0"/>
      </w:pP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阅读器在宽屏下自动计算双页插槽；旋转屏幕或改变窗口大小时，重新计算页面尺寸和覆盖层坐标，保持译文与原文对齐。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1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t-wid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图：平板宽屏与左侧导航轨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7 本地模型与性能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OCR：PP-OCRv6 det + rec，det 长边限制 768；原生 C++ ONNX Runtime 在 TaskPool 中运行 det/rec，主线程只解码 RGBA。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本地翻译：llama.cpp + GGUF 模型，按空间位置合并 3–4 行气泡批量生成，减少重复推理。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性能记录：模拟器 6 行合成页原生 OCR 约 594ms、翻译约 1.4s、合计约 2.1s；真机历史数据约 4.7s/页（具体随设备与模型变化）。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模型文件不随安装包分发；用户自行下载或导入，模型许可由模型发布方决定。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7.1 性能与资源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场景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实测/估算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原生 OCR 6 行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594ms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Mate 90 Pro 模拟器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本地翻译 6 行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1.4s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随模型/设备变化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整页合计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2.1s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模拟器合成页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安装包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93MB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含字体与原生库</w:t>
            </w:r>
          </w:p>
        </w:tc>
      </w:tr>
    </w:tbl>
    <w:p>
      <w:pPr>
        <w:spacing w:after="0"/>
      </w:pP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 的 det 长边限制为 768，减少大图计算量；原生 det/rec 在 TaskPool 中执行，主线程只负责图片解码和界面刷新。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168000" cy="70107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-manag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010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7"/>
        </w:rPr>
        <w:t>图：模型管理与存储占用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8 数据与隐私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书籍、页图、翻译结果、术语表、翻译记忆、阅读进度和 API Key 默认保存在本机应用沙箱。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使用在线翻译时，待翻译文本会发送到用户选择的翻译服务商；使用 OpenAI 等境外服务可能涉及数据出境，用户应在设置中确认服务商和隐私政策。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使用本地 OCR/本地翻译时，图片和文本不离开设备。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卸载应用会删除应用沙箱数据；用户可在系统设置中清除应用数据。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8.1 数据流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本地模式：图片/文本只在设备内处理；在线模式：只把待翻译文本发送到用户选择的翻译服务商，不上传整本漫画。API Key 保存在应用沙箱，不写入日志。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清理缓存会删除去字底图、临时合成图和导出暂存；卸载应用会删除应用沙箱中的书籍、翻译、术语表与偏好。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9 常见问题与故障处理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图片加载失败：检查文件是否被移动或删除；重新导入漫画。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无结果：确认已下载 OCR 模型；复杂背景/超大框会被过滤；可尝试提高图片清晰度。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翻译失败：检查网络、API Key、模型路径；在线服务可能限流或返回空。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PDF 导出失败：确认设备支持 HMS PDFKit，且应用有文件写入权限；可改用 ZIP 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模型导入失败：确认文件为 .gguf 且完整；导入时会复制到沙箱，需预留存储空间。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9.1 故障处理表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现象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可能原因</w:t>
            </w:r>
          </w:p>
        </w:tc>
        <w:tc>
          <w:tcPr>
            <w:tcW w:type="dxa" w:w="3213"/>
            <w:shd w:fill="E8EEF7"/>
          </w:tcPr>
          <w:p>
            <w:pPr>
              <w:jc w:val="center"/>
            </w:pPr>
            <w:r/>
            <w:r>
              <w:rPr>
                <w:rFonts w:ascii="黑体" w:hAnsi="黑体" w:eastAsia="黑体"/>
                <w:b/>
                <w:sz w:val="18"/>
              </w:rPr>
              <w:t>处理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图片加载失败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文件被移动/删除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重新导入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OCR 无结果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模型未下载/图片过小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下载模型、换清晰图片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翻译失败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网络/Key/模型路径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检查网络与配置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PDF 导出失败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PDF Kit 不可用/无写权限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改用 ZIP 导出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模型导入失败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文件非 GGUF/不完整</w:t>
            </w:r>
          </w:p>
        </w:tc>
        <w:tc>
          <w:tcPr>
            <w:tcW w:type="dxa" w:w="3213"/>
          </w:tcPr>
          <w:p>
            <w:pPr>
              <w:spacing w:after="40"/>
            </w:pPr>
            <w:r/>
            <w:r>
              <w:rPr>
                <w:rFonts w:ascii="宋体" w:hAnsi="宋体" w:eastAsia="宋体"/>
                <w:b w:val="0"/>
                <w:sz w:val="17"/>
              </w:rPr>
              <w:t>重新下载/导入</w:t>
            </w:r>
          </w:p>
        </w:tc>
      </w:tr>
    </w:tbl>
    <w:p>
      <w:pPr>
        <w:spacing w:after="0"/>
      </w:pP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10 版权与合规说明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本软件是本地翻译工具，不内置漫画、小说或图片内容；用户应仅导入其有权使用的内容。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软件包含第三方开源组件，具体见 NOTICE.md 与 softcopyright/03-第三方组件与模型清单.md。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AI 翻译结果可能存在错误，用户应在导出或发布前自行校对；公开传播 AI 生成内容时应遵守生成合成内容标识等规定。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软件名称、版本号、著作权人应与申请表、源程序页眉、说明书封面保持一致。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软件名称、版本号、著作权人应与申请表、源程序页眉、说明书封面保持一致；本软件为首次申请，未登记过低版本。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A 主要模块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entry：应用入口、页面、服务、数据访问与设置。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commons：主题、断点、日志、路径等公共能力。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coremodel：漫画、小说、页面、翻译结果等数据模型。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coreocr：系统 OCR、本地 PP-OCRv6 与原生 ONNX Runtime 桥。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coretranslate：在线服务商、本地 llama.cpp、提示词与引擎注册。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corerender：覆盖层排版、Canvas 绘制、字体与颜色。</w:t>
      </w:r>
    </w:p>
    <w:p>
      <w:pPr>
        <w:pStyle w:val="ListBullet"/>
        <w:spacing w:line="336" w:lineRule="auto"/>
      </w:pPr>
      <w:r>
        <w:rPr>
          <w:rFonts w:ascii="宋体" w:hAnsi="宋体" w:eastAsia="宋体"/>
          <w:b w:val="0"/>
          <w:sz w:val="21"/>
        </w:rPr>
        <w:t>corenovel：EPUB/TXT 解析与章节模型。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B 版本记录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V1.1.0：新增原生 det+rec、Noto Sans CJK、PDF 导出、术语表、气泡校对；具体变更见 CHANGELOG.md。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C 操作步骤与界面说明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本附录按用户实际使用顺序说明主要界面与按钮，便于审查人员核对软件功能与截图、源程序的一致性。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C.1 首次启动与书架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首次启动进入书架页，底部为“书架 / 翻译 / 历史 / 我的”四个入口；大屏设备自动切换为左侧导航轨。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书架页顶部显示“漫画书架”、漫画数量和“导入”按钮；点击“导入”后选择本地 ZIP/CBZ、图片目录或相册图片，导入完成后生成漫画卡片。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漫画卡片显示封面、标题、页数和“未翻译 / 已翻译”状态；点击卡片进入阅读器。书架支持“最近”排序和按翻译状态筛选。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“小说”页签用于导入 TXT/EPUB 等小说文件，导入后按章节生成目录。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C.2 阅读器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阅读器页面中央为当前页图片，底部显示页码和进度；点击页面中央打开菜单，菜单包含“翻译本页”“导出ZIP”“目录”“设置”等入口。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左右点击屏幕两侧可翻页；点击左右边缘的区域宽度、翻页方向、动画效果可在阅读设置中调整。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阅读设置支持左到右、右到左、竖排整页、连续 Webtoon 四种阅读流，以及背景色、反色、灰度、亮度、对比度、字体大小、行距和横竖排。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“目录”打开缩略图网格，可跳转到任意页；“设置”打开阅读参数面板；参数保存在本机，下次打开继续生效。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C.3 翻译本页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在阅读器菜单点击“翻译本页”，软件依次执行页面解码、OCR、翻译和保存。进度条按阶段显示“解码页面”“识别文字”“翻译 x/y 行”“保存”。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可选择系统 Core Vision 或本地 PP-OCRv6；本地模型需先在“设置 → OCR”下载。翻译引擎可选择免 Key 的必应、OpenAI 兼容 API 或本地 llama.cpp。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翻译完成后，译文按页面坐标覆盖到原图；合并气泡内的多行译文会按气泡整体排版。译文块支持自动字号、横竖排和逐块黑白字/描边。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C.4 气泡校对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对未合并的单行气泡长按，弹出“校对译文”对话框；输入框显示当前译文，点击“保存”后更新本页翻译结果并立即重绘，点击“取消”不修改。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合并气泡暂不支持逐行编辑；需要修改时先关闭气泡合并或重新翻译该页。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C.5 导出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点击“导出ZIP”打开导出模式：仅原文、仅译文、双语对照。仅原文直接归集原图；仅译文合成译文页；双语对照按页序交替原文和译文页。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点击“导出 PDF”将译文合成页写入 PDF，保存到应用文件目录，完成提示会显示路径。PDF 导出依赖系统 PDF Kit；不支持时改用 ZIP。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C.6 术语表与翻译记忆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路径为“设置 → 翻译 → 术语表”。点击“导入”选择 JSON 文件，格式为数组，每项包含 s（原文）和 t（译文），例如 [{"s":"原文","t":"译文"}]。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翻译前按最长优先替换术语；页翻译完成后自动写入翻译记忆，最多保留 2000 条，重复原文可直接复用译文。点击“清空”删除术语表。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C.7 本地模型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 OCR：设置 → OCR → 本地 PP-OCRv6，点击“下载”自动下载检测和识别模型并启用；页面显示“已下载”和文件路径。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本地翻译：模型管理导入 .gguf 文件，应用会复制到沙箱；导入成功后可在翻译设置选择本地 llama.cpp。模型不随安装包分发。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C.8 常见提示与限制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图片加载失败时检查文件是否被移动或删除，重新导入；OCR 无结果时确认模型已下载，复杂背景或超大框会被过滤；翻译失败时检查网络、API Key 或模型路径。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软件不内置漫画/小说内容，用户应仅导入有权使用的内容；AI 翻译结果可能存在错误，导出或公开传播前应人工校对。</w:t>
      </w:r>
    </w:p>
    <w:p>
      <w:pPr>
        <w:spacing w:before="200" w:after="120"/>
      </w:pPr>
      <w:r>
        <w:rPr>
          <w:rFonts w:ascii="黑体" w:hAnsi="黑体" w:eastAsia="黑体"/>
          <w:b/>
          <w:sz w:val="30"/>
        </w:rPr>
        <w:t>附录 D 软件设计说明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D.1 总体架构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软件采用 HarmonyOS Stage 模型和 HAR 多模块架构。entry 模块负责应用入口、页面、交互、数据访问与系统能力；commons 提供主题、断点、日志、路径等公共能力。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coremodel 定义漫画、小说、页面、翻译结果、下载任务等数据模型；coreocr 封装系统 OCR、本地 PP-OCRv6 和原生 ONNX Runtime 桥；coretranslate 封装在线翻译服务与本地 llama.cpp；corerender 负责覆盖层排版与 Canvas 绘制；corenovel 负责 TXT/EPUB/ZIP-HTML 解析。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D.2 模块与主要功能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entry/pages：Index、ShelfPage、ReaderPage、SettingsPage、AboutPage 等页面；entry/service：PageTranslateService、BatchTranslateService、ExportService、GlossaryService、OcrRecService 等服务。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entry/data：MangaRepository、PageRepository、SettingsRepository、DownloadRepository 等 RDB/Preferences 访问层；entry/viewmodel：ReaderViewModel、ShelfViewModel 等状态与业务编排。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coreocr/LocalOcrEngine：页面解码、det 预处理、连通域检测、rec 识别；entry/cpp/ocr_bridge.cpp：通过 ONNX Runtime C API 在 TaskPool 中运行 det/rec。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coretranslate：引擎注册、OpenAI 兼容请求、必应翻译、本地 llama.cpp NAPI；corerender：LayoutEngine、OverlayRenderer、PageOverlay；corenovel：TxtParser、EpubParser、ZipHtmlParser。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D.3 数据处理流程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漫画翻译主流程：导入 → 页面记录 → 阅读器解码图片 → OCR 检测/识别 → 文本行按空间位置分组 → 翻译引擎生成译文 → 页内缓存/翻译记忆 → PageTranslation 落库 → 覆盖层排版绘制 → 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小说翻译主流程：导入 → 解析章节 → 分页 → 段落切分 → 逐段翻译 → 结果缓存 → 阅读器分页显示/导出。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导出流程：读取页序和渲染设置 → 合成原文/译文页 → 写入暂存目录 → ZIP 或 PDF → 保存选择器/应用目录 → 清理暂存。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D.4 关键算法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检测：图片按长边 768 缩放，按 32 对齐；3x3 可分离膨胀连接笔画；连通域得到轴对齐框；按面积比例过滤整页大框和单字大框；相近框合并。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识别：按框裁剪并 pad 2 像素，缩放到高 48、宽 32 对齐，归一化到 [-1,1]；rec 输出按 CTC 贪心解码，去除 blank 和连续重复。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气泡分组：按垂直间距不超过上一行高度 0.8 倍、水平重叠超过最小宽度 25%、每组最多 4 行/600 字符分组；本地 llama 每组生成一次，再按行拆分，失败回退逐行。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覆盖排版：以页面像素坐标建立 DisplayRect，LayoutEngine 按气泡宽高计算字号与换行；OverlayRenderer 按块绘制背景、描边、文字；逐块文本颜色来自去字底图边缘亮度采样。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D.5 接口与数据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页面翻译接口：PageTranslateService.run(page, options, onProgress)；输出 PageTranslation（pageId、translations、boxes、status）。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接口：OcrService.recognize/recognizeLocal；原生接口：initDet、initRec、detectBoxes、recognizeBoxes。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翻译接口：Translator.translate(TranslateRequest)；引擎注册表按 EngineType 选择必应、OpenAI 兼容或本地 llama.cpp。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数据表：manga、manga_page、page_translation、text_translation、download_task；图片、清理底图、翻译记忆、术语表存放在应用沙箱。</w:t>
      </w:r>
    </w:p>
    <w:p>
      <w:pPr>
        <w:spacing w:before="120" w:after="80"/>
      </w:pPr>
      <w:r>
        <w:rPr>
          <w:rFonts w:ascii="黑体" w:hAnsi="黑体" w:eastAsia="黑体"/>
          <w:b/>
          <w:sz w:val="24"/>
        </w:rPr>
        <w:t>D.6 异常处理与边界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OCR 模型未下载、模型文件损坏、ONNX 初始化失败时回退系统 OCR；网络翻译失败时保留原文并记录失败行；本地模型路径无效时提示重新导入。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页面过大时 OCR 限制长边并过滤异常框；导出合成失败时回退原图并计数；PDF Kit 不可用时提示改用 ZIP；存储空间不足时提示清理缓存。</w:t>
      </w:r>
    </w:p>
    <w:p>
      <w:pPr>
        <w:spacing w:line="360" w:lineRule="auto" w:after="80"/>
        <w:ind w:firstLine="420"/>
        <w:jc w:val="both"/>
      </w:pPr>
      <w:r>
        <w:rPr>
          <w:rFonts w:ascii="宋体" w:hAnsi="宋体" w:eastAsia="宋体"/>
          <w:b w:val="0"/>
          <w:sz w:val="21"/>
        </w:rPr>
        <w:t>软件不上传整本漫画；在线翻译仅发送待翻译文本；本地模式图片和文本不离开设备。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/>
    <w:r>
      <w:rPr>
        <w:rFonts w:ascii="宋体" w:hAnsi="宋体" w:eastAsia="宋体"/>
        <w:b w:val="0"/>
        <w:sz w:val="16"/>
      </w:rPr>
      <w:t>墨译漫画小说智能翻译软件 V1.1.0  软件说明书</w:t>
    </w:r>
  </w:p>
  <w:p>
    <w:pPr>
      <w:spacing w:after="0"/>
      <w:jc w:val="right"/>
    </w:pPr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墨译漫画小说智能翻译软件 V1.1.0 软件说明书</dc:title>
  <dc:subject>计算机软件著作权登记文档</dc:subject>
  <dc:creator>薛朝坤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