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2"/>
        <w:gridCol w:w="848"/>
        <w:gridCol w:w="1835"/>
        <w:gridCol w:w="3961"/>
        <w:gridCol w:w="755"/>
      </w:tblGrid>
      <w:tr>
        <w:trPr>
          <w:trHeight w:val="290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5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info</w:t>
            </w:r>
          </w:p>
        </w:tc>
        <w:tc>
          <w:tcPr>
            <w:tcW w:w="75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u w:val="none" w:color="000000"/>
        </w:rPr>
        <w:t>guide_info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type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5"/>
        <w:gridCol w:w="1248"/>
        <w:gridCol w:w="963"/>
        <w:gridCol w:w="891"/>
        <w:gridCol w:w="3739"/>
      </w:tblGrid>
      <w:tr>
        <w:trPr>
          <w:trHeight w:val="170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