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240" w:after="120"/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即插即用demo总体说明</w:t>
      </w:r>
    </w:p>
    <w:p>
      <w:pPr>
        <w:pStyle w:val="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 xml:space="preserve">创建时间： </w:t>
      </w:r>
      <w:r>
        <w:rPr>
          <w:rFonts w:hint="eastAsia" w:ascii="宋体" w:hAnsi="宋体" w:eastAsia="宋体" w:cs="宋体"/>
          <w:color w:val="000000"/>
          <w:lang w:val="en-US" w:eastAsia="zh-CN"/>
        </w:rPr>
        <w:t>2021/04/24</w:t>
      </w:r>
      <w:r>
        <w:rPr>
          <w:rFonts w:hint="eastAsia" w:ascii="宋体" w:hAnsi="宋体" w:eastAsia="宋体" w:cs="宋体"/>
          <w:color w:val="000000"/>
        </w:rPr>
        <w:t xml:space="preserve"> </w:t>
      </w:r>
      <w:r>
        <w:rPr>
          <w:rFonts w:hint="eastAsia" w:ascii="宋体" w:hAnsi="宋体" w:eastAsia="宋体" w:cs="宋体"/>
          <w:color w:val="000000"/>
          <w:lang w:val="en-US" w:eastAsia="zh-CN"/>
        </w:rPr>
        <w:t>19</w:t>
      </w:r>
      <w:r>
        <w:rPr>
          <w:rFonts w:hint="eastAsia" w:ascii="宋体" w:hAnsi="宋体" w:eastAsia="宋体" w:cs="宋体"/>
          <w:color w:val="000000"/>
        </w:rPr>
        <w:t>：30</w:t>
      </w:r>
    </w:p>
    <w:p>
      <w:pPr>
        <w:pStyle w:val="5"/>
        <w:rPr>
          <w:rStyle w:val="12"/>
          <w:rFonts w:hint="default" w:ascii="宋体" w:hAnsi="宋体" w:eastAsia="宋体" w:cs="宋体"/>
          <w:color w:val="000000"/>
          <w:lang w:val="en-US"/>
        </w:rPr>
      </w:pPr>
      <w:r>
        <w:rPr>
          <w:rFonts w:hint="eastAsia" w:ascii="宋体" w:hAnsi="宋体" w:eastAsia="宋体" w:cs="宋体"/>
          <w:color w:val="000000"/>
        </w:rPr>
        <w:t>作者：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"mailto:1099023759@qq.com"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2"/>
          <w:rFonts w:hint="eastAsia" w:ascii="宋体" w:hAnsi="宋体" w:eastAsia="宋体" w:cs="宋体"/>
          <w:color w:val="000000"/>
          <w:lang w:val="en-US" w:eastAsia="zh-CN"/>
        </w:rPr>
        <w:t>1099023759</w:t>
      </w:r>
      <w:r>
        <w:rPr>
          <w:rStyle w:val="12"/>
          <w:rFonts w:hint="eastAsia" w:ascii="宋体" w:hAnsi="宋体" w:eastAsia="宋体" w:cs="宋体"/>
          <w:color w:val="000000"/>
        </w:rPr>
        <w:t>@qq.com</w:t>
      </w:r>
      <w:r>
        <w:rPr>
          <w:rStyle w:val="12"/>
          <w:rFonts w:hint="eastAsia" w:ascii="宋体" w:hAnsi="宋体" w:eastAsia="宋体" w:cs="宋体"/>
          <w:color w:val="000000"/>
        </w:rPr>
        <w:fldChar w:fldCharType="end"/>
      </w:r>
      <w:r>
        <w:rPr>
          <w:rStyle w:val="12"/>
          <w:rFonts w:hint="eastAsia" w:ascii="宋体" w:hAnsi="宋体" w:eastAsia="宋体" w:cs="宋体"/>
          <w:color w:val="000000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Goland、edgex-go、rt内核、Igh Ethercat主站、edgex的appservice-sdk-go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均在Tower上有文档。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前置知识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IO-Link，Igh EtherCAT，OPC UA，Edgex设备微服务以及APPservice，JS。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IO-Link：本工程仅仅利用Ethercat主站配置IO-Link主站为唤醒模式，IO-Link主站和从站之间将建立通信。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以上知识不在本文件里详细描述，请从三份可执行文件的源码入手开始。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网络拓扑图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459480" cy="362712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图1-网络拓扑图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软件架构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01640" cy="389382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图2-软件架构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Plug_and_play文件包目录树</w:t>
      </w:r>
    </w:p>
    <w:p>
      <w:r>
        <w:drawing>
          <wp:inline distT="0" distB="0" distL="114300" distR="114300">
            <wp:extent cx="4587240" cy="179832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图3-Plug_and_play文件包目录树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文件及其说明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项目的根目录是Plug_and_play，其中可执行文件作用如下表：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表1-即插即用可执行文件说明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0"/>
        <w:gridCol w:w="1947"/>
        <w:gridCol w:w="4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46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PNP-Ethercat-OPCUAServer/EL6224</w:t>
            </w:r>
          </w:p>
        </w:tc>
        <w:tc>
          <w:tcPr>
            <w:tcW w:w="1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Ethercat总线+OPCUA服务器</w:t>
            </w:r>
          </w:p>
        </w:tc>
        <w:tc>
          <w:tcPr>
            <w:tcW w:w="46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Monitor线程：监控IO-Link端口设备插入，加载OPCUA信息模型，配置EtherCAT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Ethercat_thread线程：EtherCAT总线数据读取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Main线程：运行OPCUA服务器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Device-manage-service/device-manage-service</w:t>
            </w:r>
          </w:p>
        </w:tc>
        <w:tc>
          <w:tcPr>
            <w:tcW w:w="1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设备管理模块</w:t>
            </w:r>
          </w:p>
        </w:tc>
        <w:tc>
          <w:tcPr>
            <w:tcW w:w="46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接口1：IODD解析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接口2：接受设备edgex注册请求，配置toml和yaml，启动设备微服务。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PNP-Appservice/appservice</w:t>
            </w:r>
          </w:p>
        </w:tc>
        <w:tc>
          <w:tcPr>
            <w:tcW w:w="1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数据导出+可视化组件</w:t>
            </w:r>
          </w:p>
        </w:tc>
        <w:tc>
          <w:tcPr>
            <w:tcW w:w="46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线程1：过滤Edgex数据流，选择注册的IO-Link设备数据可视化。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向js界面提供：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接口1：n个注册设备的设备id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接口2：n个IO-Link设备的过程数据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以上三个文件细节，请看源码完整注释。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演示即插即用流程</w:t>
      </w:r>
    </w:p>
    <w:p>
      <w:pPr>
        <w:jc w:val="center"/>
      </w:pPr>
      <w:r>
        <w:drawing>
          <wp:inline distT="0" distB="0" distL="114300" distR="114300">
            <wp:extent cx="3131820" cy="398526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图4-即插即用运行流程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具体运行指令可以参考目录下的readme.txt文件。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注意先在EL6224的port4上接入RVP510，port1不接入KI5084。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2529840" cy="479298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图5-EL6224与IO-Link Slave接线图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至此运行起来了程序环境。此时EtherCAT是OP状态。RVP5084已经被自动化配置，在可视界面可以看到RVP5084的四个过程数据。</w:t>
      </w:r>
    </w:p>
    <w:p>
      <w:r>
        <w:drawing>
          <wp:inline distT="0" distB="0" distL="114300" distR="114300">
            <wp:extent cx="6119495" cy="194437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图6-JS可视界面</w:t>
      </w:r>
    </w:p>
    <w:p/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在EL6224（IO-Link主站）上的port1插口1号插入KI5084的信号线，本程序系统，将自动对其进行配置，在可视界面可以看到新增了KI5084的两个过程数据。</w:t>
      </w:r>
    </w:p>
    <w:p>
      <w:r>
        <w:drawing>
          <wp:inline distT="0" distB="0" distL="114300" distR="114300">
            <wp:extent cx="6112510" cy="2887345"/>
            <wp:effectExtent l="0" t="0" r="139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图7-JS可视界面-新设备388插入</w:t>
      </w:r>
    </w:p>
    <w:p/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即实现了设备的即插即用。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为了实现设备即插即用系统中几个微服务的协作，设计了一张数据库表，如下。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CREATE TABLE IO_Link_Device(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`device_id` BIGINT NOT NUll AUTO_INCREMENT COMMENT 'IO-Link设备id',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`deviceservice_create_flag` int NOT NULL COMMENT '设备微服务开启标志',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`appservice_monitor_flag` int NOT NULL COMMENT 'APP微服务监控设备标志',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`js_show_flag` int NOT NULL COMMENT 'JS可视化标志',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`io_link_port` int NOT NULL COMMENT 'IO-Link主站Port',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`edgex_port` int NOT NULL COMMENT '设备微服务Port',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`create_time` TIMESTAMP NOT NULL DEFAULT CURRENT_TIMESTAMP COMMENT '创建时间',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PRIMARY KEY (device_id)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)ENGINE=INNODB AUTO_INCREMENT=1000 DEFAULT CHARSET=utf8 COMMENT='IO-Link设备表';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设备插入时，总线程序将开启一行，设置设备id和创建时间，IO-Link主站。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设备管理微服务获取注册请求，设置设备微服务标志，设备微服务port。</w:t>
      </w:r>
    </w:p>
    <w:p>
      <w:pPr>
        <w:rPr>
          <w:rFonts w:hint="default"/>
          <w:lang w:val="en-US" w:eastAsia="zh-CN"/>
        </w:rPr>
        <w:sectPr>
          <w:pgSz w:w="11906" w:h="16838"/>
          <w:pgMar w:top="1134" w:right="1134" w:bottom="1134" w:left="1134" w:header="0" w:footer="0" w:gutter="0"/>
          <w:pgNumType w:fmt="decimal"/>
          <w:formProt w:val="0"/>
          <w:docGrid w:linePitch="240" w:charSpace="-6145"/>
        </w:sectPr>
      </w:pPr>
      <w:r>
        <w:rPr>
          <w:rFonts w:hint="eastAsia"/>
          <w:lang w:val="en-US" w:eastAsia="zh-CN"/>
        </w:rPr>
        <w:t>APPservice周期性查询数据库表，获得没被APP监控的设备id，APP微服务监控设备标开启。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程序交互时序图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以行时间递增的时序图。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表2-程序交互时序图</w:t>
      </w:r>
    </w:p>
    <w:tbl>
      <w:tblPr>
        <w:tblStyle w:val="10"/>
        <w:tblW w:w="14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2473"/>
        <w:gridCol w:w="1476"/>
        <w:gridCol w:w="2568"/>
        <w:gridCol w:w="1704"/>
        <w:gridCol w:w="1404"/>
        <w:gridCol w:w="1584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程序外部</w:t>
            </w:r>
          </w:p>
        </w:tc>
        <w:tc>
          <w:tcPr>
            <w:tcW w:w="2473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EL6224内部</w:t>
            </w:r>
          </w:p>
        </w:tc>
        <w:tc>
          <w:tcPr>
            <w:tcW w:w="1476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EL6224与device-manage-service之间</w:t>
            </w:r>
          </w:p>
        </w:tc>
        <w:tc>
          <w:tcPr>
            <w:tcW w:w="2568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Device-manage-service</w:t>
            </w: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Appservice</w:t>
            </w:r>
          </w:p>
        </w:tc>
        <w:tc>
          <w:tcPr>
            <w:tcW w:w="140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Appservie与js之间</w:t>
            </w:r>
          </w:p>
        </w:tc>
        <w:tc>
          <w:tcPr>
            <w:tcW w:w="158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JS界面</w:t>
            </w:r>
          </w:p>
        </w:tc>
        <w:tc>
          <w:tcPr>
            <w:tcW w:w="2064" w:type="dxa"/>
          </w:tcPr>
          <w:p>
            <w:pPr>
              <w:rPr>
                <w:rFonts w:hint="eastAsia" w:ascii="宋体" w:hAnsi="宋体" w:eastAsia="宋体" w:cs="宋体"/>
                <w:color w:val="00000A"/>
                <w:sz w:val="24"/>
                <w:szCs w:val="24"/>
                <w:vertAlign w:val="baseline"/>
                <w:lang w:val="en-US" w:eastAsia="zh-CN" w:bidi="hi-I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Mysql表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473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启动monitor线程</w:t>
            </w:r>
          </w:p>
        </w:tc>
        <w:tc>
          <w:tcPr>
            <w:tcW w:w="1476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568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40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64" w:type="dxa"/>
          </w:tcPr>
          <w:p>
            <w:pPr>
              <w:rPr>
                <w:rFonts w:hint="default" w:ascii="宋体" w:hAnsi="宋体" w:eastAsia="宋体" w:cs="宋体"/>
                <w:color w:val="00000A"/>
                <w:sz w:val="24"/>
                <w:szCs w:val="24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473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初始化ethercat主站</w:t>
            </w:r>
          </w:p>
        </w:tc>
        <w:tc>
          <w:tcPr>
            <w:tcW w:w="1476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568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40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64" w:type="dxa"/>
          </w:tcPr>
          <w:p>
            <w:pPr>
              <w:rPr>
                <w:rFonts w:hint="default" w:ascii="宋体" w:hAnsi="宋体" w:eastAsia="宋体" w:cs="宋体"/>
                <w:color w:val="00000A"/>
                <w:sz w:val="24"/>
                <w:szCs w:val="24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473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启动ethercat_thread线程(OP)</w:t>
            </w:r>
          </w:p>
        </w:tc>
        <w:tc>
          <w:tcPr>
            <w:tcW w:w="1476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568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40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64" w:type="dxa"/>
          </w:tcPr>
          <w:p>
            <w:pPr>
              <w:rPr>
                <w:rFonts w:hint="default" w:ascii="宋体" w:hAnsi="宋体" w:eastAsia="宋体" w:cs="宋体"/>
                <w:color w:val="00000A"/>
                <w:sz w:val="24"/>
                <w:szCs w:val="24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473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启动OPCUA服务器</w:t>
            </w:r>
          </w:p>
        </w:tc>
        <w:tc>
          <w:tcPr>
            <w:tcW w:w="1476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568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40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64" w:type="dxa"/>
          </w:tcPr>
          <w:p>
            <w:pPr>
              <w:rPr>
                <w:rFonts w:hint="default" w:ascii="宋体" w:hAnsi="宋体" w:eastAsia="宋体" w:cs="宋体"/>
                <w:color w:val="00000A"/>
                <w:sz w:val="24"/>
                <w:szCs w:val="24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设备插入</w:t>
            </w:r>
          </w:p>
        </w:tc>
        <w:tc>
          <w:tcPr>
            <w:tcW w:w="2473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568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40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64" w:type="dxa"/>
          </w:tcPr>
          <w:p>
            <w:pPr>
              <w:rPr>
                <w:rFonts w:hint="default" w:ascii="宋体" w:hAnsi="宋体" w:eastAsia="宋体" w:cs="宋体"/>
                <w:color w:val="00000A"/>
                <w:sz w:val="24"/>
                <w:szCs w:val="24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473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Monitor线程提取出设备id</w:t>
            </w:r>
          </w:p>
        </w:tc>
        <w:tc>
          <w:tcPr>
            <w:tcW w:w="1476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568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40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64" w:type="dxa"/>
          </w:tcPr>
          <w:p>
            <w:pPr>
              <w:rPr>
                <w:rFonts w:hint="default" w:ascii="宋体" w:hAnsi="宋体" w:eastAsia="宋体" w:cs="宋体"/>
                <w:color w:val="00000A"/>
                <w:sz w:val="24"/>
                <w:szCs w:val="24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473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monitor线程关闭ethercat_thread线程（PREOP）</w:t>
            </w:r>
          </w:p>
        </w:tc>
        <w:tc>
          <w:tcPr>
            <w:tcW w:w="1476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568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40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64" w:type="dxa"/>
          </w:tcPr>
          <w:p>
            <w:pPr>
              <w:rPr>
                <w:rFonts w:hint="default" w:ascii="宋体" w:hAnsi="宋体" w:eastAsia="宋体" w:cs="宋体"/>
                <w:color w:val="00000A"/>
                <w:sz w:val="24"/>
                <w:szCs w:val="24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473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Monitor线程</w:t>
            </w:r>
          </w:p>
        </w:tc>
        <w:tc>
          <w:tcPr>
            <w:tcW w:w="1476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POST Deviceid 过程数据OPCUA节点---&gt;</w:t>
            </w:r>
          </w:p>
        </w:tc>
        <w:tc>
          <w:tcPr>
            <w:tcW w:w="2568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40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64" w:type="dxa"/>
          </w:tcPr>
          <w:p>
            <w:pPr>
              <w:rPr>
                <w:rFonts w:hint="default" w:ascii="宋体" w:hAnsi="宋体" w:eastAsia="宋体" w:cs="宋体"/>
                <w:color w:val="00000A"/>
                <w:sz w:val="24"/>
                <w:szCs w:val="24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473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数据库表插入设备id为主键的一行</w:t>
            </w:r>
          </w:p>
        </w:tc>
        <w:tc>
          <w:tcPr>
            <w:tcW w:w="1476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568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解析IODD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40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64" w:type="dxa"/>
          </w:tcPr>
          <w:p>
            <w:pPr>
              <w:rPr>
                <w:rFonts w:hint="eastAsia" w:ascii="宋体" w:hAnsi="宋体" w:eastAsia="宋体" w:cs="宋体"/>
                <w:color w:val="00000A"/>
                <w:sz w:val="24"/>
                <w:szCs w:val="24"/>
                <w:vertAlign w:val="baseline"/>
                <w:lang w:val="en-US" w:eastAsia="zh-CN" w:bidi="hi-I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47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568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1.配置toml、选择yaml。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2.以过程数据OPCUA节点为参数，启动设备微服务。</w:t>
            </w:r>
          </w:p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3.数据库表设备id行置deviceservice标志为1。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1.查mysql表，启动对设备名的监控（选择edgex数据流）。</w:t>
            </w:r>
          </w:p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2.Mysql表APPservice标志位置1</w:t>
            </w:r>
          </w:p>
        </w:tc>
        <w:tc>
          <w:tcPr>
            <w:tcW w:w="140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64" w:type="dxa"/>
          </w:tcPr>
          <w:p>
            <w:pPr>
              <w:rPr>
                <w:rFonts w:hint="default" w:ascii="宋体" w:hAnsi="宋体" w:eastAsia="宋体" w:cs="宋体"/>
                <w:color w:val="00000A"/>
                <w:sz w:val="24"/>
                <w:szCs w:val="24"/>
                <w:vertAlign w:val="baseline"/>
                <w:lang w:val="en-US" w:eastAsia="zh-CN" w:bidi="hi-I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Deviceid和deviceservice标志位1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47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568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40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64" w:type="dxa"/>
          </w:tcPr>
          <w:p>
            <w:pPr>
              <w:rPr>
                <w:rFonts w:hint="default" w:ascii="宋体" w:hAnsi="宋体" w:eastAsia="宋体" w:cs="宋体"/>
                <w:color w:val="00000A"/>
                <w:sz w:val="24"/>
                <w:szCs w:val="24"/>
                <w:vertAlign w:val="baseline"/>
                <w:lang w:val="en-US" w:eastAsia="zh-CN" w:bidi="hi-I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Deviceid、deviceservice标志位1和APPservice标志位1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47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568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得到IO-Link设备的数据流</w:t>
            </w:r>
          </w:p>
        </w:tc>
        <w:tc>
          <w:tcPr>
            <w:tcW w:w="140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64" w:type="dxa"/>
          </w:tcPr>
          <w:p>
            <w:pPr>
              <w:rPr>
                <w:rFonts w:hint="default" w:ascii="宋体" w:hAnsi="宋体" w:eastAsia="宋体" w:cs="宋体"/>
                <w:color w:val="00000A"/>
                <w:sz w:val="24"/>
                <w:szCs w:val="24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47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568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长度n的双向链表存储n个IO-Link设备的数据流</w:t>
            </w:r>
          </w:p>
        </w:tc>
        <w:tc>
          <w:tcPr>
            <w:tcW w:w="140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64" w:type="dxa"/>
          </w:tcPr>
          <w:p>
            <w:pPr>
              <w:rPr>
                <w:rFonts w:hint="eastAsia" w:ascii="宋体" w:hAnsi="宋体" w:eastAsia="宋体" w:cs="宋体"/>
                <w:color w:val="00000A"/>
                <w:sz w:val="24"/>
                <w:szCs w:val="24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47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568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40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&lt;-- 获取注册设备id</w:t>
            </w:r>
          </w:p>
        </w:tc>
        <w:tc>
          <w:tcPr>
            <w:tcW w:w="158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64" w:type="dxa"/>
          </w:tcPr>
          <w:p>
            <w:pPr>
              <w:rPr>
                <w:rFonts w:hint="eastAsia" w:ascii="宋体" w:hAnsi="宋体" w:eastAsia="宋体" w:cs="宋体"/>
                <w:color w:val="00000A"/>
                <w:sz w:val="24"/>
                <w:szCs w:val="24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47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568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40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可视化设备窗口</w:t>
            </w:r>
          </w:p>
        </w:tc>
        <w:tc>
          <w:tcPr>
            <w:tcW w:w="2064" w:type="dxa"/>
          </w:tcPr>
          <w:p>
            <w:pPr>
              <w:rPr>
                <w:rFonts w:hint="eastAsia" w:ascii="宋体" w:hAnsi="宋体" w:eastAsia="宋体" w:cs="宋体"/>
                <w:color w:val="00000A"/>
                <w:sz w:val="24"/>
                <w:szCs w:val="24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47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568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40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&lt;-- 获取注册设备过程数据流</w:t>
            </w:r>
          </w:p>
        </w:tc>
        <w:tc>
          <w:tcPr>
            <w:tcW w:w="158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064" w:type="dxa"/>
          </w:tcPr>
          <w:p>
            <w:pPr>
              <w:rPr>
                <w:rFonts w:hint="eastAsia" w:ascii="宋体" w:hAnsi="宋体" w:eastAsia="宋体" w:cs="宋体"/>
                <w:color w:val="00000A"/>
                <w:sz w:val="24"/>
                <w:szCs w:val="24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47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476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568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40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设备窗口呈现过程数据</w:t>
            </w:r>
          </w:p>
        </w:tc>
        <w:tc>
          <w:tcPr>
            <w:tcW w:w="2064" w:type="dxa"/>
          </w:tcPr>
          <w:p>
            <w:pPr>
              <w:rPr>
                <w:rFonts w:hint="eastAsia" w:ascii="宋体" w:hAnsi="宋体" w:eastAsia="宋体" w:cs="宋体"/>
                <w:color w:val="00000A"/>
                <w:sz w:val="24"/>
                <w:szCs w:val="24"/>
                <w:vertAlign w:val="baseline"/>
                <w:lang w:val="en-US" w:eastAsia="zh-CN" w:bidi="hi-IN"/>
              </w:rPr>
            </w:pPr>
          </w:p>
        </w:tc>
      </w:tr>
    </w:tbl>
    <w:p>
      <w:pPr>
        <w:rPr>
          <w:rFonts w:hint="default" w:ascii="宋体" w:hAnsi="宋体" w:eastAsia="宋体" w:cs="宋体"/>
          <w:lang w:val="en-US" w:eastAsia="zh-CN"/>
        </w:rPr>
        <w:sectPr>
          <w:pgSz w:w="16838" w:h="11906" w:orient="landscape"/>
          <w:pgMar w:top="1134" w:right="1134" w:bottom="1134" w:left="1134" w:header="0" w:footer="0" w:gutter="0"/>
          <w:pgNumType w:fmt="decimal"/>
          <w:formProt w:val="0"/>
          <w:docGrid w:linePitch="240" w:charSpace="-6145"/>
        </w:sectPr>
      </w:pPr>
    </w:p>
    <w:p>
      <w:pPr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CJK SC Regula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;Courier Ne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Mono L;Courier Ne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3ADB00"/>
    <w:multiLevelType w:val="singleLevel"/>
    <w:tmpl w:val="AE3ADB00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010C3CD0"/>
    <w:rsid w:val="01AE172E"/>
    <w:rsid w:val="03A3371F"/>
    <w:rsid w:val="06674ED3"/>
    <w:rsid w:val="066957EB"/>
    <w:rsid w:val="077917A7"/>
    <w:rsid w:val="07866BF7"/>
    <w:rsid w:val="09261D02"/>
    <w:rsid w:val="092D376E"/>
    <w:rsid w:val="094A772A"/>
    <w:rsid w:val="0A2870AC"/>
    <w:rsid w:val="0A770757"/>
    <w:rsid w:val="0C8776C1"/>
    <w:rsid w:val="0CD873B2"/>
    <w:rsid w:val="0DA73C75"/>
    <w:rsid w:val="0E1A5877"/>
    <w:rsid w:val="0E303AC1"/>
    <w:rsid w:val="0E995149"/>
    <w:rsid w:val="0F286913"/>
    <w:rsid w:val="0F5B07F7"/>
    <w:rsid w:val="0FE339D4"/>
    <w:rsid w:val="117240E2"/>
    <w:rsid w:val="11DE5BC6"/>
    <w:rsid w:val="11FD36B2"/>
    <w:rsid w:val="12BD39CF"/>
    <w:rsid w:val="12E42675"/>
    <w:rsid w:val="13A37003"/>
    <w:rsid w:val="13EB2EDF"/>
    <w:rsid w:val="14A1478C"/>
    <w:rsid w:val="15964F0B"/>
    <w:rsid w:val="17E10592"/>
    <w:rsid w:val="183F74DF"/>
    <w:rsid w:val="189B48D0"/>
    <w:rsid w:val="18AB42BD"/>
    <w:rsid w:val="1A201357"/>
    <w:rsid w:val="1A79237C"/>
    <w:rsid w:val="1AB217D2"/>
    <w:rsid w:val="1C3A3BC4"/>
    <w:rsid w:val="1D5151E3"/>
    <w:rsid w:val="1DEE00FA"/>
    <w:rsid w:val="1E2B6C75"/>
    <w:rsid w:val="1EDA0322"/>
    <w:rsid w:val="230C5663"/>
    <w:rsid w:val="23B76840"/>
    <w:rsid w:val="240F7BA5"/>
    <w:rsid w:val="27301CE7"/>
    <w:rsid w:val="275E54A0"/>
    <w:rsid w:val="2862356A"/>
    <w:rsid w:val="288607F5"/>
    <w:rsid w:val="289044A5"/>
    <w:rsid w:val="2A0759C0"/>
    <w:rsid w:val="2A1077D8"/>
    <w:rsid w:val="2C6F1A14"/>
    <w:rsid w:val="2C8F556D"/>
    <w:rsid w:val="2CBB6E8D"/>
    <w:rsid w:val="2CCA3B60"/>
    <w:rsid w:val="2CCB0B4F"/>
    <w:rsid w:val="2DB66BD6"/>
    <w:rsid w:val="2EAF17B6"/>
    <w:rsid w:val="2EF07CBB"/>
    <w:rsid w:val="2F7068DE"/>
    <w:rsid w:val="3020464E"/>
    <w:rsid w:val="30255B84"/>
    <w:rsid w:val="30FB497A"/>
    <w:rsid w:val="316C00CD"/>
    <w:rsid w:val="335711B2"/>
    <w:rsid w:val="382F421C"/>
    <w:rsid w:val="3B9D3522"/>
    <w:rsid w:val="3C2E284C"/>
    <w:rsid w:val="3DEE486A"/>
    <w:rsid w:val="3E0837BE"/>
    <w:rsid w:val="3E2F191A"/>
    <w:rsid w:val="3E74148E"/>
    <w:rsid w:val="3EED1D0B"/>
    <w:rsid w:val="3F4302F7"/>
    <w:rsid w:val="3F676C86"/>
    <w:rsid w:val="404A4F6D"/>
    <w:rsid w:val="406B484F"/>
    <w:rsid w:val="4285086A"/>
    <w:rsid w:val="429A270E"/>
    <w:rsid w:val="431907D7"/>
    <w:rsid w:val="431B3559"/>
    <w:rsid w:val="43BA324E"/>
    <w:rsid w:val="44A41DF7"/>
    <w:rsid w:val="45C552F1"/>
    <w:rsid w:val="46290729"/>
    <w:rsid w:val="46440315"/>
    <w:rsid w:val="471E3DDC"/>
    <w:rsid w:val="47594638"/>
    <w:rsid w:val="48245403"/>
    <w:rsid w:val="48664217"/>
    <w:rsid w:val="486C15CC"/>
    <w:rsid w:val="49722195"/>
    <w:rsid w:val="4A0F00D5"/>
    <w:rsid w:val="4A140AA5"/>
    <w:rsid w:val="4A1B2D8E"/>
    <w:rsid w:val="4A247412"/>
    <w:rsid w:val="4A487E72"/>
    <w:rsid w:val="4AEA5A84"/>
    <w:rsid w:val="4AF0137F"/>
    <w:rsid w:val="4B233B7C"/>
    <w:rsid w:val="4B3D0580"/>
    <w:rsid w:val="4BA34B31"/>
    <w:rsid w:val="4C8D7E0C"/>
    <w:rsid w:val="4DFB0F95"/>
    <w:rsid w:val="4E4A01E7"/>
    <w:rsid w:val="4F4C3CCF"/>
    <w:rsid w:val="502F6C35"/>
    <w:rsid w:val="50F10876"/>
    <w:rsid w:val="50F43E0A"/>
    <w:rsid w:val="511D6B0E"/>
    <w:rsid w:val="5142488F"/>
    <w:rsid w:val="52D7289A"/>
    <w:rsid w:val="538B1280"/>
    <w:rsid w:val="554A477A"/>
    <w:rsid w:val="5695723A"/>
    <w:rsid w:val="570E7DC4"/>
    <w:rsid w:val="57B54C6E"/>
    <w:rsid w:val="58C93B7A"/>
    <w:rsid w:val="58D175DF"/>
    <w:rsid w:val="590E12FB"/>
    <w:rsid w:val="59A62C14"/>
    <w:rsid w:val="59FA4806"/>
    <w:rsid w:val="5AF1492A"/>
    <w:rsid w:val="5B750F87"/>
    <w:rsid w:val="5BEB765B"/>
    <w:rsid w:val="5C7A5103"/>
    <w:rsid w:val="5D83088E"/>
    <w:rsid w:val="5F187453"/>
    <w:rsid w:val="602A483C"/>
    <w:rsid w:val="60E1369A"/>
    <w:rsid w:val="61B26F7F"/>
    <w:rsid w:val="629847D7"/>
    <w:rsid w:val="63AF71B9"/>
    <w:rsid w:val="64501BFB"/>
    <w:rsid w:val="647D241B"/>
    <w:rsid w:val="65300021"/>
    <w:rsid w:val="65913941"/>
    <w:rsid w:val="68DD089E"/>
    <w:rsid w:val="698B3213"/>
    <w:rsid w:val="6BD55075"/>
    <w:rsid w:val="6D4D4A69"/>
    <w:rsid w:val="6E3430CC"/>
    <w:rsid w:val="703F3AE1"/>
    <w:rsid w:val="704D1FE6"/>
    <w:rsid w:val="705A7199"/>
    <w:rsid w:val="70FD3885"/>
    <w:rsid w:val="7181115D"/>
    <w:rsid w:val="72175731"/>
    <w:rsid w:val="726759BB"/>
    <w:rsid w:val="73385BC6"/>
    <w:rsid w:val="749C235B"/>
    <w:rsid w:val="75797DFC"/>
    <w:rsid w:val="75841CF0"/>
    <w:rsid w:val="75CB30DD"/>
    <w:rsid w:val="76B814FE"/>
    <w:rsid w:val="78D62685"/>
    <w:rsid w:val="78DC71D2"/>
    <w:rsid w:val="7979152C"/>
    <w:rsid w:val="7ABF3AD8"/>
    <w:rsid w:val="7AD65885"/>
    <w:rsid w:val="7D1051EE"/>
    <w:rsid w:val="7D3912DB"/>
    <w:rsid w:val="7F5A41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Noto Sans CJK SC Regula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outlineLvl w:val="0"/>
    </w:pPr>
    <w:rPr>
      <w:rFonts w:ascii="Liberation Serif" w:hAnsi="Liberation Serif" w:eastAsia="黑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5">
    <w:name w:val="Body Text"/>
    <w:basedOn w:val="1"/>
    <w:uiPriority w:val="0"/>
    <w:pPr>
      <w:spacing w:before="0" w:after="140" w:line="288" w:lineRule="auto"/>
    </w:pPr>
  </w:style>
  <w:style w:type="paragraph" w:styleId="6">
    <w:name w:val="List"/>
    <w:basedOn w:val="5"/>
    <w:qFormat/>
    <w:uiPriority w:val="0"/>
  </w:style>
  <w:style w:type="paragraph" w:styleId="7">
    <w:name w:val="Title"/>
    <w:basedOn w:val="8"/>
    <w:qFormat/>
    <w:uiPriority w:val="0"/>
  </w:style>
  <w:style w:type="paragraph" w:customStyle="1" w:styleId="8">
    <w:name w:val="标题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13">
    <w:name w:val="编号符号"/>
    <w:qFormat/>
    <w:uiPriority w:val="0"/>
  </w:style>
  <w:style w:type="paragraph" w:customStyle="1" w:styleId="14">
    <w:name w:val="索引"/>
    <w:basedOn w:val="1"/>
    <w:qFormat/>
    <w:uiPriority w:val="0"/>
    <w:pPr>
      <w:suppressLineNumbers/>
    </w:pPr>
  </w:style>
  <w:style w:type="paragraph" w:customStyle="1" w:styleId="15">
    <w:name w:val="预格式化的文本"/>
    <w:basedOn w:val="1"/>
    <w:qFormat/>
    <w:uiPriority w:val="0"/>
    <w:pPr>
      <w:spacing w:before="0" w:after="0"/>
    </w:pPr>
    <w:rPr>
      <w:rFonts w:ascii="Liberation Mono;Courier New" w:hAnsi="Liberation Mono;Courier New" w:eastAsia="Nimbus Mono L;Courier New" w:cs="Liberation Mono;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1453</Words>
  <Characters>9428</Characters>
  <Paragraphs>238</Paragraphs>
  <TotalTime>2</TotalTime>
  <ScaleCrop>false</ScaleCrop>
  <LinksUpToDate>false</LinksUpToDate>
  <CharactersWithSpaces>9922</CharactersWithSpaces>
  <Application>WPS Office_11.1.0.10116_F1E327BC-269C-435d-A152-05C5408002CA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2020-07-29T09:17:00Z</dcterms:created>
  <dc:creator>FRISBEE</dc:creator>
  <cp:lastModifiedBy>FRISBEE</cp:lastModifiedBy>
  <dcterms:modified xsi:type="dcterms:W3CDTF">2021-04-28T02:13:07Z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