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research team is developing a new method to improve translation quality.</w:t>
      </w:r>
    </w:p>
    <w:p>
      <w:r>
        <w:t>These results do not mean that the treatment is effective for all patients.</w:t>
      </w:r>
    </w:p>
    <w:p>
      <w:r>
        <w:t>When does the meeting start? Who is responsible for submitting the report?</w:t>
      </w:r>
    </w:p>
    <w:p>
      <w:r>
        <w:t>In 2026, the AI system processed 1,234 documents with an accuracy of 95.5%.</w:t>
      </w:r>
    </w:p>
    <w:p>
      <w:r>
        <w:t>OpenAI API: the request timeout is 30 seconds (see Section 2).</w:t>
      </w:r>
    </w:p>
    <w:p>
      <w:r>
        <w:t>Send the report for {user_name} to editor@example.com and visit https://example.com/report.</w:t>
      </w:r>
    </w:p>
    <w:p>
      <w:r>
        <w:t>The student read the book, then wrote a short summary.</w:t>
      </w:r>
    </w:p>
    <w:p>
      <w:r>
        <w:t>The order number is ١٢٣٤; please preserve this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