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译文</w:t>
      </w:r>
    </w:p>
    <w:p>
      <w:pPr>
        <w:bidi w:val="1"/>
        <w:jc w:val="start"/>
      </w:pPr>
      <w:r>
        <w:rPr>
          <w:rFonts w:ascii="Times New Roman" w:hAnsi="Times New Roman" w:eastAsia="宋体" w:cs="Arial"/>
          <w:rtl w:val="1"/>
        </w:rPr>
        <w:t>يعمل فريق البحث على تطوير طريقة جديدة لتحسين جودة الترجمة. [W00]</w:t>
      </w:r>
    </w:p>
    <w:p>
      <w:pPr>
        <w:bidi w:val="1"/>
        <w:jc w:val="start"/>
      </w:pPr>
      <w:r>
        <w:rPr>
          <w:rFonts w:ascii="Times New Roman" w:hAnsi="Times New Roman" w:eastAsia="宋体" w:cs="Arial"/>
          <w:rtl w:val="1"/>
        </w:rPr>
        <w:t>لا تعني هذه النتائج أن العلاج فعال لجميع المرضى. [W01]</w:t>
      </w:r>
    </w:p>
    <w:p>
      <w:pPr>
        <w:bidi w:val="1"/>
        <w:jc w:val="start"/>
      </w:pPr>
      <w:r>
        <w:rPr>
          <w:rFonts w:ascii="Times New Roman" w:hAnsi="Times New Roman" w:eastAsia="宋体" w:cs="Arial"/>
          <w:rtl w:val="1"/>
        </w:rPr>
        <w:t>متى يبدأ الاجتماع؟ من المسؤول عن تقديم التقرير؟ [W02]</w:t>
      </w:r>
    </w:p>
    <w:p>
      <w:pPr>
        <w:bidi w:val="1"/>
        <w:jc w:val="start"/>
      </w:pPr>
      <w:r>
        <w:rPr>
          <w:rFonts w:ascii="Times New Roman" w:hAnsi="Times New Roman" w:eastAsia="宋体" w:cs="Arial"/>
          <w:rtl w:val="1"/>
        </w:rPr>
        <w:t>في عام 2026، عالج نظام AI عددًا قدره 1,234 وثيقة بدقة بلغت 95.5%. [W03]</w:t>
      </w:r>
    </w:p>
    <w:p>
      <w:pPr>
        <w:bidi w:val="1"/>
        <w:jc w:val="start"/>
      </w:pPr>
      <w:r>
        <w:rPr>
          <w:rFonts w:ascii="Times New Roman" w:hAnsi="Times New Roman" w:eastAsia="宋体" w:cs="Arial"/>
          <w:rtl w:val="1"/>
        </w:rPr>
        <w:t>OpenAI API: مهلة الطلب 30 ثانية (انظر القسم 2). [W04]</w:t>
      </w:r>
    </w:p>
    <w:p>
      <w:pPr>
        <w:bidi w:val="1"/>
        <w:jc w:val="start"/>
      </w:pPr>
      <w:r>
        <w:rPr>
          <w:rFonts w:ascii="Times New Roman" w:hAnsi="Times New Roman" w:eastAsia="宋体" w:cs="Arial"/>
          <w:rtl w:val="1"/>
        </w:rPr>
        <w:t>أرسل تقرير {user_name} إلى editor@example.com، وزُر https://example.com/report. [W05]</w:t>
      </w:r>
    </w:p>
    <w:p>
      <w:pPr>
        <w:bidi w:val="1"/>
        <w:jc w:val="start"/>
      </w:pPr>
      <w:r>
        <w:rPr>
          <w:rFonts w:ascii="Times New Roman" w:hAnsi="Times New Roman" w:eastAsia="宋体" w:cs="Arial"/>
          <w:rtl w:val="1"/>
        </w:rPr>
        <w:t>قَرَأَ الطَّالِبُ الْكِتَابَ، ثُمَّ كَتَبَ مُلَخَّصًا قَصِيرًا. [W06]</w:t>
      </w:r>
    </w:p>
    <w:p>
      <w:pPr>
        <w:bidi w:val="1"/>
        <w:jc w:val="start"/>
      </w:pPr>
      <w:r>
        <w:rPr>
          <w:rFonts w:ascii="Times New Roman" w:hAnsi="Times New Roman" w:eastAsia="宋体" w:cs="Arial"/>
          <w:rtl w:val="1"/>
        </w:rPr>
        <w:t>رقم الطلب هو ١٢٣٤؛ يُرجى الاحتفاظ بهذا الرقم. [W07]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120"/>
      <w:contextualSpacing/>
    </w:pPr>
    <w:rPr>
      <w:rFonts w:ascii="Times New Roman" w:hAnsi="Times New Roman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120"/>
      <w:contextualSpacing/>
    </w:pPr>
    <w:rPr>
      <w:rFonts w:ascii="Times New Roman" w:hAnsi="Times New Roman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120" w:line="360" w:lineRule="auto"/>
      <w:ind w:left="936" w:right="936"/>
    </w:pPr>
    <w:rPr>
      <w:rFonts w:ascii="Times New Roman" w:hAnsi="Times New Roman" w:eastAsia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