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Statements Summary</w:t>
      </w:r>
    </w:p>
    <w:p>
      <w:r>
        <w:t>The following table contains structured financial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Revenue (USD)</w:t>
            </w:r>
          </w:p>
        </w:tc>
      </w:tr>
      <w:tr>
        <w:tc>
          <w:tcPr>
            <w:tcW w:type="dxa" w:w="4320"/>
          </w:tcPr>
          <w:p>
            <w:r>
              <w:t>Q1 2026</w:t>
            </w:r>
          </w:p>
        </w:tc>
        <w:tc>
          <w:tcPr>
            <w:tcW w:type="dxa" w:w="4320"/>
          </w:tcPr>
          <w:p>
            <w:r>
              <w:t>$1,250,000</w:t>
            </w:r>
          </w:p>
        </w:tc>
      </w:tr>
    </w:tbl>
    <w:p>
      <w:r>
        <w:t>The following table contains merged column structures.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Global Division Overview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Staff Count</w:t>
            </w:r>
          </w:p>
        </w:tc>
        <w:tc>
          <w:tcPr>
            <w:tcW w:type="dxa" w:w="2880"/>
          </w:tcPr>
          <w:p>
            <w:r>
              <w:t>Operating Status</w:t>
            </w:r>
          </w:p>
        </w:tc>
      </w:tr>
      <w:tr>
        <w:tc>
          <w:tcPr>
            <w:tcW w:type="dxa" w:w="2880"/>
          </w:tcPr>
          <w:p>
            <w:r>
              <w:t>APAC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