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eastAsia="黑体"/>
          <w:b/>
          <w:i w:val="0"/>
          <w:color w:val="203748"/>
          <w:sz w:val="44"/>
        </w:rPr>
        <w:t>第三章 翻译问题的层级化修订与受控对比</w:t>
      </w:r>
    </w:p>
    <w:p>
      <w:pPr>
        <w:spacing w:after="360"/>
        <w:jc w:val="center"/>
      </w:pPr>
      <w:r>
        <w:rPr>
          <w:rFonts w:ascii="Calibri" w:hAnsi="Calibri" w:eastAsia="宋体"/>
          <w:b w:val="0"/>
          <w:i/>
          <w:color w:val="666666"/>
          <w:sz w:val="20"/>
        </w:rPr>
        <w:t>隔离式写作试运行 | OpenCode Go · glm-5.2</w:t>
      </w:r>
    </w:p>
    <w:p>
      <w:pPr>
        <w:pStyle w:val="Heading1"/>
      </w:pPr>
      <w:r>
        <w:t>3. 翻译问题的层级化修订与受控对比</w:t>
      </w:r>
    </w:p>
    <w:p>
      <w:pPr>
        <w:jc w:val="both"/>
      </w:pPr>
      <w:r>
        <w:rPr>
          <w:rFonts w:ascii="Calibri" w:hAnsi="Calibri" w:eastAsia="宋体"/>
          <w:b w:val="0"/>
          <w:i w:val="0"/>
          <w:color w:val="000000"/>
          <w:sz w:val="22"/>
        </w:rPr>
        <w:t>本章以源译对应、话语指称和语用力度为递进主线，先分析两项真实修订案例，再以一项合成对比案例作为补充性受控检验。</w:t>
      </w:r>
    </w:p>
    <w:p>
      <w:pPr>
        <w:pStyle w:val="Heading2"/>
      </w:pPr>
      <w:r>
        <w:t>3.1 证据边界与分析路径</w:t>
      </w:r>
    </w:p>
    <w:p>
      <w:pPr>
        <w:jc w:val="both"/>
      </w:pPr>
      <w:r>
        <w:rPr>
          <w:rFonts w:ascii="Calibri" w:hAnsi="Calibri" w:eastAsia="宋体"/>
          <w:b w:val="0"/>
          <w:i w:val="0"/>
          <w:color w:val="000000"/>
          <w:sz w:val="22"/>
        </w:rPr>
        <w:t>本章的分析建立在两类性质不同的证据之上：真实修订记录与受控合成对比。真实修订案例提供了历史初译至终译的文本变化事实，支持对实际修订动作和文本效果的客观分析；合成对比案例则基于真实源文构造，用于在缺乏历史修订记录的维度上补充机制层面的分析。</w:t>
      </w:r>
    </w:p>
    <w:p>
      <w:pPr>
        <w:jc w:val="both"/>
      </w:pPr>
      <w:r>
        <w:rPr>
          <w:rFonts w:ascii="Calibri" w:hAnsi="Calibri" w:eastAsia="宋体"/>
          <w:b w:val="0"/>
          <w:i w:val="0"/>
          <w:color w:val="000000"/>
          <w:sz w:val="22"/>
        </w:rPr>
        <w:t>现有项目证据仅支持 2 个通过修订资格门禁的真实修订案例；未用弱证据或无真实修订的片段补足第三个案例。因此，本章在真实修订案例部分仅分析 seg-ec100d8686d3891e-0209 与 seg-ec100d8686d3891e-0272 两项，不虚构或拼凑第三项历史修订。</w:t>
      </w:r>
    </w:p>
    <w:p>
      <w:pPr>
        <w:jc w:val="both"/>
      </w:pPr>
      <w:r>
        <w:rPr>
          <w:rFonts w:ascii="Calibri" w:hAnsi="Calibri" w:eastAsia="宋体"/>
          <w:b w:val="0"/>
          <w:i w:val="0"/>
          <w:color w:val="000000"/>
          <w:sz w:val="22"/>
        </w:rPr>
        <w:t>合成对比案例以真实源文为基础，模拟初译与优化译文均为分析阶段生成，不代表作者的历史翻译；其合理性、错误实质性与修复有效性分别经过检查。 合成案例只能展示合理的翻译失败模式，不能证明此类错误在人类译者中的实际发生频率。</w:t>
      </w:r>
    </w:p>
    <w:p>
      <w:pPr>
        <w:jc w:val="both"/>
      </w:pPr>
      <w:r>
        <w:rPr>
          <w:rFonts w:ascii="Calibri" w:hAnsi="Calibri" w:eastAsia="宋体"/>
          <w:b w:val="0"/>
          <w:i w:val="0"/>
          <w:color w:val="000000"/>
          <w:sz w:val="22"/>
        </w:rPr>
        <w:t>在此证据边界下，本章的分析路径为：首先在真实修订案例中考察源译对应关系的修复与话语指称的调整，随后在合成对比案例中检验语用力度在命题内容近似不变时的差异化效果，最后进行跨案例综合与局限说明。</w:t>
      </w:r>
    </w:p>
    <w:p>
      <w:pPr>
        <w:pStyle w:val="Heading2"/>
      </w:pPr>
      <w:r>
        <w:t>3.2 真实修订案例：对应关系与话语指称</w:t>
      </w:r>
    </w:p>
    <w:p>
      <w:pPr>
        <w:jc w:val="both"/>
      </w:pPr>
      <w:r>
        <w:rPr>
          <w:rFonts w:ascii="Calibri" w:hAnsi="Calibri" w:eastAsia="宋体"/>
          <w:b w:val="0"/>
          <w:i w:val="0"/>
          <w:color w:val="000000"/>
          <w:sz w:val="22"/>
        </w:rPr>
        <w:t>本节分析两项真实修订案例，分别关注段落层面的源译对应关系修复与句子层面的话语指称调整。</w:t>
      </w:r>
    </w:p>
    <w:p>
      <w:pPr>
        <w:pStyle w:val="Heading3"/>
      </w:pPr>
      <w:r>
        <w:t>案例 seg-ec100d8686d3891e-0209：源译对应关系的修复</w:t>
      </w:r>
    </w:p>
    <w:p>
      <w:pPr>
        <w:jc w:val="both"/>
      </w:pPr>
      <w:r>
        <w:rPr>
          <w:rFonts w:ascii="Calibri" w:hAnsi="Calibri" w:eastAsia="宋体"/>
          <w:b w:val="0"/>
          <w:i w:val="0"/>
          <w:color w:val="000000"/>
          <w:sz w:val="22"/>
        </w:rPr>
        <w:t>本案例的翻译问题在于历史初译文本与本段源文在语言和内容上都无对应关系。</w:t>
      </w:r>
    </w:p>
    <w:p>
      <w:pPr>
        <w:spacing w:before="80" w:after="80" w:line="290" w:lineRule="auto"/>
        <w:ind w:left="403" w:right="259"/>
      </w:pPr>
      <w:r>
        <w:rPr>
          <w:rFonts w:ascii="Calibri" w:hAnsi="Calibri" w:eastAsia="宋体"/>
          <w:b/>
          <w:i w:val="0"/>
          <w:color w:val="1F4D78"/>
          <w:sz w:val="21"/>
        </w:rPr>
        <w:t>源文（0209）：</w:t>
      </w:r>
      <w:r>
        <w:rPr>
          <w:rFonts w:ascii="Calibri" w:hAnsi="Calibri" w:eastAsia="宋体"/>
          <w:b w:val="0"/>
          <w:i w:val="0"/>
          <w:color w:val="333333"/>
          <w:sz w:val="21"/>
        </w:rPr>
        <w:t>RIOT IN CELL BLOCK 11</w:t>
        <w:br/>
        <w:t>&gt; [INITIAL seg-ec100d8686d3891e-0209]: 那是夏天，或是夏末。那是午后。</w:t>
        <w:br/>
        <w:t>&gt; [TARGET seg-ec100d8686d3891e-0209]: RIOT IN CELL BLOCK 11</w:t>
      </w:r>
    </w:p>
    <w:p>
      <w:pPr>
        <w:jc w:val="both"/>
      </w:pPr>
      <w:r>
        <w:rPr>
          <w:rFonts w:ascii="Calibri" w:hAnsi="Calibri" w:eastAsia="宋体"/>
          <w:b w:val="0"/>
          <w:i w:val="0"/>
          <w:color w:val="000000"/>
          <w:sz w:val="22"/>
        </w:rPr>
        <w:t>从历史初译到历史终译，可观察到的文本差异是将无对应关系的中文片段整体替换为源文题名。历史初译“那是夏天，或是夏末。那是午后。”与源文题名“RIOT IN CELL BLOCK 11”在语义和形式上均无关联，而历史终译直接恢复了源文文本。</w:t>
      </w:r>
    </w:p>
    <w:p>
      <w:pPr>
        <w:jc w:val="both"/>
      </w:pPr>
      <w:r>
        <w:rPr>
          <w:rFonts w:ascii="Calibri" w:hAnsi="Calibri" w:eastAsia="宋体"/>
          <w:b w:val="0"/>
          <w:i w:val="0"/>
          <w:color w:val="000000"/>
          <w:sz w:val="22"/>
        </w:rPr>
        <w:t>在备选方案方面，存在一种 counterfactual_rendering：若将题名译为中文，如“十一号牢房的暴动”，可提供目标语读者文化可及性，但现有记录未显示译者曾考虑此方案。</w:t>
      </w:r>
    </w:p>
    <w:p>
      <w:pPr>
        <w:jc w:val="both"/>
      </w:pPr>
      <w:r>
        <w:rPr>
          <w:rFonts w:ascii="Calibri" w:hAnsi="Calibri" w:eastAsia="宋体"/>
          <w:b w:val="0"/>
          <w:i w:val="0"/>
          <w:color w:val="000000"/>
          <w:sz w:val="22"/>
        </w:rPr>
        <w:t>最终决策与理由在于，可观察到的修订是将无对应关系的中文片段整体替换为源文题名，客观上恢复了当前段的源译对应；但保留英文题名的原因未记录。从结果看可解释为，该修订动作旨在纠正初译阶段的文本错配，而非进行常规的语际翻译转换。</w:t>
      </w:r>
    </w:p>
    <w:p>
      <w:pPr>
        <w:jc w:val="both"/>
      </w:pPr>
      <w:r>
        <w:rPr>
          <w:rFonts w:ascii="Calibri" w:hAnsi="Calibri" w:eastAsia="宋体"/>
          <w:b w:val="0"/>
          <w:i w:val="0"/>
          <w:color w:val="000000"/>
          <w:sz w:val="22"/>
        </w:rPr>
        <w:t>在翻译效果方面，该修订在 reference_clarity 维度上产生了可观察的变化：“那是夏天，或是夏末。那是午后。”与题名源文无对应，终译“RIOT IN CELL BLOCK 11”与本段源文一致。这一变化消除了初译文本与源文之间的断裂，使目标语文本在段落层面与源文重新建立对应。</w:t>
      </w:r>
    </w:p>
    <w:p>
      <w:pPr>
        <w:jc w:val="both"/>
      </w:pPr>
      <w:r>
        <w:rPr>
          <w:rFonts w:ascii="Calibri" w:hAnsi="Calibri" w:eastAsia="宋体"/>
          <w:b w:val="0"/>
          <w:i w:val="0"/>
          <w:color w:val="000000"/>
          <w:sz w:val="22"/>
        </w:rPr>
        <w:t>由于无文献证据支持，本节不提及任何具体理论名称。在证据边界与有界结论方面，该修订恢复了本段的源译对应，但现有证据既不说明初译错配的生成机制，也不证明保留英文题名是有意翻译策略。</w:t>
      </w:r>
    </w:p>
    <w:p>
      <w:pPr>
        <w:jc w:val="both"/>
      </w:pPr>
      <w:r>
        <w:rPr>
          <w:rFonts w:ascii="Calibri" w:hAnsi="Calibri" w:eastAsia="宋体"/>
          <w:b w:val="0"/>
          <w:i w:val="0"/>
          <w:color w:val="000000"/>
          <w:sz w:val="22"/>
        </w:rPr>
        <w:t>本项目证据不足以支持对初译错配原因及保留英文题名动机的推断。所需的人工证据包括：保留英文题名而不译出的原因；初译为何出现与本段无对应关系文本的工作流记录。</w:t>
      </w:r>
    </w:p>
    <w:p>
      <w:pPr>
        <w:pStyle w:val="Heading3"/>
      </w:pPr>
      <w:r>
        <w:t>案例 seg-ec100d8686d3891e-0272：话语指称的调整</w:t>
      </w:r>
    </w:p>
    <w:p>
      <w:pPr>
        <w:jc w:val="both"/>
      </w:pPr>
      <w:r>
        <w:rPr>
          <w:rFonts w:ascii="Calibri" w:hAnsi="Calibri" w:eastAsia="宋体"/>
          <w:b w:val="0"/>
          <w:i w:val="0"/>
          <w:color w:val="000000"/>
          <w:sz w:val="22"/>
        </w:rPr>
        <w:t>本案例的翻译问题涉及源语词数回指在目标语中的迁移困难。源文“Those five words”是对前文英文引语“You will not have a war”的词数回指（五个英文词），但汉语译文“你不会经历战争”既非五个字也非五个词，初译“这五个字”造成目标语表层计数与引语形式不一致；修订改为“这句话”以回避无法直接迁移的词数指称。</w:t>
      </w:r>
    </w:p>
    <w:p>
      <w:pPr>
        <w:spacing w:before="80" w:after="80" w:line="290" w:lineRule="auto"/>
        <w:ind w:left="403" w:right="259"/>
      </w:pPr>
      <w:r>
        <w:rPr>
          <w:rFonts w:ascii="Calibri" w:hAnsi="Calibri" w:eastAsia="宋体"/>
          <w:b/>
          <w:i w:val="0"/>
          <w:color w:val="1F4D78"/>
          <w:sz w:val="21"/>
        </w:rPr>
        <w:t>源文（0272）：</w:t>
      </w:r>
      <w:r>
        <w:rPr>
          <w:rFonts w:ascii="Calibri" w:hAnsi="Calibri" w:eastAsia="宋体"/>
          <w:b w:val="0"/>
          <w:i w:val="0"/>
          <w:color w:val="333333"/>
          <w:sz w:val="21"/>
        </w:rPr>
        <w:t>“You will not have a war,” Matti suddenly said. Those five words have echoed within me for fifty years.</w:t>
        <w:br/>
        <w:t>&gt; [INITIAL seg-ec100d8686d3891e-0272]: “你不会经历战争，”马蒂突然说道。这五个字在我心中回响了五十年。</w:t>
        <w:br/>
        <w:t>&gt; [TARGET seg-ec100d8686d3891e-0272]: “你不会经历战争，”马蒂突然说道。这句话在我心中回响了五十年。</w:t>
      </w:r>
    </w:p>
    <w:p>
      <w:pPr>
        <w:jc w:val="both"/>
      </w:pPr>
      <w:r>
        <w:rPr>
          <w:rFonts w:ascii="Calibri" w:hAnsi="Calibri" w:eastAsia="宋体"/>
          <w:b w:val="0"/>
          <w:i w:val="0"/>
          <w:color w:val="000000"/>
          <w:sz w:val="22"/>
        </w:rPr>
        <w:t>从历史初译到历史终译，可观察到的文本差异是将“五个字”替换为“句话”。这一实际修订直接作用于回指成分，未改变引语本身及句子的主干结构。</w:t>
      </w:r>
    </w:p>
    <w:p>
      <w:pPr>
        <w:jc w:val="both"/>
      </w:pPr>
      <w:r>
        <w:rPr>
          <w:rFonts w:ascii="Calibri" w:hAnsi="Calibri" w:eastAsia="宋体"/>
          <w:b w:val="0"/>
          <w:i w:val="0"/>
          <w:color w:val="000000"/>
          <w:sz w:val="22"/>
        </w:rPr>
        <w:t>在备选方案方面，存在一种 counterfactual_rendering：若保留计数回指，可改为“这几个字在我心中回响了五十年”，以模糊计数方式维持回指结构，但现有记录未显示译者曾考虑此方案。</w:t>
      </w:r>
    </w:p>
    <w:p>
      <w:pPr>
        <w:jc w:val="both"/>
      </w:pPr>
      <w:r>
        <w:rPr>
          <w:rFonts w:ascii="Calibri" w:hAnsi="Calibri" w:eastAsia="宋体"/>
          <w:b w:val="0"/>
          <w:i w:val="0"/>
          <w:color w:val="000000"/>
          <w:sz w:val="22"/>
        </w:rPr>
        <w:t>最终决策与理由在于，可观察到的“五个字”至“这句话”替换，客观上消除了英语词数与汉语字数的表层不一致，使回指对象变为整句言语；历史动机未记录。从结果看可解释为，译者或审校者识别到了目标语表层计数与引语实际形式之间的矛盾，从而采取了概括化的指称策略。</w:t>
      </w:r>
    </w:p>
    <w:p>
      <w:pPr>
        <w:jc w:val="both"/>
      </w:pPr>
      <w:r>
        <w:rPr>
          <w:rFonts w:ascii="Calibri" w:hAnsi="Calibri" w:eastAsia="宋体"/>
          <w:b w:val="0"/>
          <w:i w:val="0"/>
          <w:color w:val="000000"/>
          <w:sz w:val="22"/>
        </w:rPr>
        <w:t>在翻译效果方面，该修订在 reference_clarity 维度上产生了可观察的变化：终译“这句话”取消了初译“五个字”中与汉语引语实际字数不符的计数指称，使回指对象从虚假的词数计量转为对整句言语的概括指称。这一变化避免了目标语读者在计数核对时产生的认知失调。</w:t>
      </w:r>
    </w:p>
    <w:p>
      <w:pPr>
        <w:jc w:val="both"/>
      </w:pPr>
      <w:r>
        <w:rPr>
          <w:rFonts w:ascii="Calibri" w:hAnsi="Calibri" w:eastAsia="宋体"/>
          <w:b w:val="0"/>
          <w:i w:val="0"/>
          <w:color w:val="000000"/>
          <w:sz w:val="22"/>
        </w:rPr>
        <w:t>由于无文献证据支持，本节不提及任何具体理论名称。在证据边界与有界结论方面，本案例表明，当源语词数回指无法直接迁移到目标语时，将计数指称转换为整句指称是一种可行的修订策略。该结论仅限于本案例的文本证据，不涉及译者历史决策动机。</w:t>
      </w:r>
    </w:p>
    <w:p>
      <w:pPr>
        <w:jc w:val="both"/>
      </w:pPr>
      <w:r>
        <w:rPr>
          <w:rFonts w:ascii="Calibri" w:hAnsi="Calibri" w:eastAsia="宋体"/>
          <w:b w:val="0"/>
          <w:i w:val="0"/>
          <w:color w:val="000000"/>
          <w:sz w:val="22"/>
        </w:rPr>
        <w:t>本项目证据不足以支持对该修订历史动机的推断。所需的人工证据包括：译者关于“五个字”改为“这句话”的修订动机说明；译者是否曾考虑其他处理词数回指的方案。</w:t>
      </w:r>
    </w:p>
    <w:p>
      <w:pPr>
        <w:pStyle w:val="Heading2"/>
      </w:pPr>
      <w:r>
        <w:t>3.3 合成对比案例：语用力度的补充性受控检验</w:t>
      </w:r>
    </w:p>
    <w:p>
      <w:pPr>
        <w:jc w:val="both"/>
      </w:pPr>
      <w:r>
        <w:rPr>
          <w:rFonts w:ascii="Calibri" w:hAnsi="Calibri" w:eastAsia="宋体"/>
          <w:b w:val="0"/>
          <w:i w:val="0"/>
          <w:color w:val="000000"/>
          <w:sz w:val="22"/>
        </w:rPr>
        <w:t>本节分析一项合成对比案例，旨在补充真实修订案例未覆盖的语用力度维度。该案例不代表作者的历史翻译过程。</w:t>
      </w:r>
    </w:p>
    <w:p>
      <w:pPr>
        <w:pStyle w:val="Heading3"/>
      </w:pPr>
      <w:r>
        <w:t>案例 SC-0141：语用力度的受控对比</w:t>
      </w:r>
    </w:p>
    <w:p>
      <w:pPr>
        <w:jc w:val="both"/>
      </w:pPr>
      <w:r>
        <w:rPr>
          <w:rFonts w:ascii="Calibri" w:hAnsi="Calibri" w:eastAsia="宋体"/>
          <w:b w:val="0"/>
          <w:i w:val="0"/>
          <w:color w:val="000000"/>
          <w:sz w:val="22"/>
        </w:rPr>
        <w:t>本案例的翻译难点在于源文“What do you need that Ben-Gurion for?”是口语化、带有轻蔑色彩的反问句，暗示本-古里安是多余或麻烦的。</w:t>
      </w:r>
    </w:p>
    <w:p>
      <w:pPr>
        <w:spacing w:before="80" w:after="80" w:line="290" w:lineRule="auto"/>
        <w:ind w:left="403" w:right="259"/>
      </w:pPr>
      <w:r>
        <w:rPr>
          <w:rFonts w:ascii="Calibri" w:hAnsi="Calibri" w:eastAsia="宋体"/>
          <w:b/>
          <w:i w:val="0"/>
          <w:color w:val="1F4D78"/>
          <w:sz w:val="21"/>
        </w:rPr>
        <w:t>真实源文（SC-0141）：</w:t>
      </w:r>
      <w:r>
        <w:rPr>
          <w:rFonts w:ascii="Calibri" w:hAnsi="Calibri" w:eastAsia="宋体"/>
          <w:b w:val="0"/>
          <w:i w:val="0"/>
          <w:color w:val="333333"/>
          <w:sz w:val="21"/>
        </w:rPr>
        <w:t>After Israel’s tenth anniversary celebrations, in the spring of 1958, he told me how he once said to Berl Katznelson, a founder of Labor Zionism: “What do you need that Ben-Gurion for?”</w:t>
        <w:br/>
        <w:t>&gt; [SIMULATED SC-0141]: 在1958年春天以色列建国十周年庆典之后，他告诉我有一次他对劳工锡安主义的创始人贝尔·卡茨内尔森说：“你为什么需要那个本-古里安？”</w:t>
        <w:br/>
        <w:t>&gt; [OPTIMIZED SC-0141]: 在1958年春天以色列建国十周年庆典之后，他告诉我有一次他对劳工锡安主义的创始人贝尔·卡茨内尔森说：“你要那个本-古里安干什么？”</w:t>
      </w:r>
    </w:p>
    <w:p>
      <w:pPr>
        <w:jc w:val="both"/>
      </w:pPr>
      <w:r>
        <w:rPr>
          <w:rFonts w:ascii="Calibri" w:hAnsi="Calibri" w:eastAsia="宋体"/>
          <w:b w:val="0"/>
          <w:i w:val="0"/>
          <w:color w:val="000000"/>
          <w:sz w:val="22"/>
        </w:rPr>
        <w:t>为考察可能偏差，构造如下模拟初译。模拟初译“你为什么需要那个本-古里安？”语法正确但语用力度被扁平化为中性信息询问，丢失了原文的政治张力与人际对抗语气。</w:t>
      </w:r>
    </w:p>
    <w:p>
      <w:pPr>
        <w:jc w:val="both"/>
      </w:pPr>
      <w:r>
        <w:rPr>
          <w:rFonts w:ascii="Calibri" w:hAnsi="Calibri" w:eastAsia="宋体"/>
          <w:b w:val="0"/>
          <w:i w:val="0"/>
          <w:color w:val="000000"/>
          <w:sz w:val="22"/>
        </w:rPr>
        <w:t>在错误诱因与诊断方面，模拟初译“你为什么需要那个本-古里安？”将口语化反问句译为正式中性疑问句，“你为什么需要”的书面语体压过了“那个”所携带的微弱轻蔑色彩，导致语用力度从质问/不屑降级为真诚询问。该模拟初译在句法上忠实于源文结构，表面看似正确，容易在未深入考察语用寄存器的情况下被接受为合格译文。</w:t>
      </w:r>
    </w:p>
    <w:p>
      <w:pPr>
        <w:jc w:val="both"/>
      </w:pPr>
      <w:r>
        <w:rPr>
          <w:rFonts w:ascii="Calibri" w:hAnsi="Calibri" w:eastAsia="宋体"/>
          <w:b w:val="0"/>
          <w:i w:val="0"/>
          <w:color w:val="000000"/>
          <w:sz w:val="22"/>
        </w:rPr>
        <w:t>在意义/功能失真方面，原文作为带有政治色彩的轻蔑话语，传达了说话者对本-古里安的低评价。将其译为中性疑问句，软化了人际和政治张力，使说话者听起来像是真诚的好奇而非轻蔑。这改变了说话者的性格特征和轶事的情感质感。</w:t>
      </w:r>
    </w:p>
    <w:p>
      <w:pPr>
        <w:jc w:val="both"/>
      </w:pPr>
      <w:r>
        <w:rPr>
          <w:rFonts w:ascii="Calibri" w:hAnsi="Calibri" w:eastAsia="宋体"/>
          <w:b w:val="0"/>
          <w:i w:val="0"/>
          <w:color w:val="000000"/>
          <w:sz w:val="22"/>
        </w:rPr>
        <w:t>在 AI 优化方面，优化译文使用口语反问结构“要……干什么”，在不改变命题内容的前提下恢复了原文轻蔑、质问的语用力度。</w:t>
      </w:r>
    </w:p>
    <w:p>
      <w:pPr>
        <w:jc w:val="both"/>
      </w:pPr>
      <w:r>
        <w:rPr>
          <w:rFonts w:ascii="Calibri" w:hAnsi="Calibri" w:eastAsia="宋体"/>
          <w:b w:val="0"/>
          <w:i w:val="0"/>
          <w:color w:val="000000"/>
          <w:sz w:val="22"/>
        </w:rPr>
        <w:t>在修复机制与有效性方面，优化译“你要那个本-古里安干什么？”中的“要……干什么”结构是汉语口语反问句式，携带质问与不屑语气，与源文“What do you need that X for?”的轻蔑反问力度对应；而模拟初译“你为什么需要”的正式书面语体将语用力度降级为中性询问。该对比为受控合成分析，不代表作者历史初译。</w:t>
      </w:r>
    </w:p>
    <w:p>
      <w:pPr>
        <w:jc w:val="both"/>
      </w:pPr>
      <w:r>
        <w:rPr>
          <w:rFonts w:ascii="Calibri" w:hAnsi="Calibri" w:eastAsia="宋体"/>
          <w:b w:val="0"/>
          <w:i w:val="0"/>
          <w:color w:val="000000"/>
          <w:sz w:val="22"/>
        </w:rPr>
        <w:t>在备选方案方面，存在一种 counterfactual_rendering：另一可能译法“那个本-古里安有什么用？”同样保留反问力度，但语气更直接、更接近贬斥；与优化译“你要那个本-古里安干什么？”相比，后者更贴近口语对话体。</w:t>
      </w:r>
    </w:p>
    <w:p>
      <w:pPr>
        <w:jc w:val="both"/>
      </w:pPr>
      <w:r>
        <w:rPr>
          <w:rFonts w:ascii="Calibri" w:hAnsi="Calibri" w:eastAsia="宋体"/>
          <w:b w:val="0"/>
          <w:i w:val="0"/>
          <w:color w:val="000000"/>
          <w:sz w:val="22"/>
        </w:rPr>
        <w:t>最终决策与理由在于，优化译“你要那个本-古里安干什么？”使用口语反问结构“要……干什么”，在不改变命题内容的前提下恢复了原文轻蔑、质问的语用力度。该对比为受控合成分析，不代表作者历史初译。</w:t>
      </w:r>
    </w:p>
    <w:p>
      <w:pPr>
        <w:jc w:val="both"/>
      </w:pPr>
      <w:r>
        <w:rPr>
          <w:rFonts w:ascii="Calibri" w:hAnsi="Calibri" w:eastAsia="宋体"/>
          <w:b w:val="0"/>
          <w:i w:val="0"/>
          <w:color w:val="000000"/>
          <w:sz w:val="22"/>
        </w:rPr>
        <w:t>在翻译效果方面，该优化在 pragmatic_force 维度上产生了可观察的变化：优化译“你要那个本-古里安干什么？”中的“要……干什么”结构是汉语口语反问句式，携带质问与不屑语气，与源文“What do you need that X for?”的轻蔑反问力度对应；而模拟初译“你为什么需要”的正式书面语体将语用力度降级为中性询问。</w:t>
      </w:r>
    </w:p>
    <w:p>
      <w:pPr>
        <w:jc w:val="both"/>
      </w:pPr>
      <w:r>
        <w:rPr>
          <w:rFonts w:ascii="Calibri" w:hAnsi="Calibri" w:eastAsia="宋体"/>
          <w:b w:val="0"/>
          <w:i w:val="0"/>
          <w:color w:val="000000"/>
          <w:sz w:val="22"/>
        </w:rPr>
        <w:t>由于无文献证据支持，本节不提及任何具体理论名称。在证据边界与有界结论方面，本案例作为受控合成对比，展示了中性疑问结构与口语反问结构在命题内容近似不变时对语用力度的差异化效果。该对比只展示一种合理的翻译失败模式，不证明此类错误在实际翻译中的频率，也不代表作者的历史初译过程。</w:t>
      </w:r>
    </w:p>
    <w:p>
      <w:pPr>
        <w:pStyle w:val="Heading2"/>
      </w:pPr>
      <w:r>
        <w:t>3.4 跨案例综合与局限</w:t>
      </w:r>
    </w:p>
    <w:p>
      <w:pPr>
        <w:jc w:val="both"/>
      </w:pPr>
      <w:r>
        <w:rPr>
          <w:rFonts w:ascii="Calibri" w:hAnsi="Calibri" w:eastAsia="宋体"/>
          <w:b w:val="0"/>
          <w:i w:val="0"/>
          <w:color w:val="000000"/>
          <w:sz w:val="22"/>
        </w:rPr>
        <w:t>综合上述三项材料，本章在分析维度上形成了从段落对应、话语指称到语用力度的递进。案例 seg-ec100d8686d3891e-0209 证明了源译对应关系的修复，案例 seg-ec100d8686d3891e-0272 证明了实际词语替换及其可观察的指称效果，而合成对比案例 SC-0141 则展示了语用力度在命题内容不变时的差异化机制。</w:t>
      </w:r>
    </w:p>
    <w:p>
      <w:pPr>
        <w:jc w:val="both"/>
      </w:pPr>
      <w:r>
        <w:rPr>
          <w:rFonts w:ascii="Calibri" w:hAnsi="Calibri" w:eastAsia="宋体"/>
          <w:b w:val="0"/>
          <w:i w:val="0"/>
          <w:color w:val="000000"/>
          <w:sz w:val="22"/>
        </w:rPr>
        <w:t>然而，历史证据与合成证据支持的结论强度必须分开。真实案例支持实际修订事实，合成案例只支持一种经验证的可能失败机制。若将两类证据并列为同等案例，章节会产生方法突变感。因此，本章严格区分了真实修订事实、作者分析与合成对比证据，确保合成案例在不冒充翻译历史的条件下补足机制层分析。</w:t>
      </w:r>
    </w:p>
    <w:p>
      <w:pPr>
        <w:jc w:val="both"/>
      </w:pPr>
      <w:r>
        <w:rPr>
          <w:rFonts w:ascii="Calibri" w:hAnsi="Calibri" w:eastAsia="宋体"/>
          <w:b w:val="0"/>
          <w:i w:val="0"/>
          <w:color w:val="000000"/>
          <w:sz w:val="22"/>
        </w:rPr>
        <w:t>在局限方面，0209 只证明对应关系修复，不证明题名保留策略或最终翻译质量；0272 只证明实际词语替换及其可观察的指称效果，不声称历史动机；SC-0141 只展示一种合理失败模式，不证明人类错误频率。由于无 Literature Evidence，本章未提及具体理论名称。这些局限界定了本章结论的适用范围，禁止将单案例结论外推为一般翻译规则。</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宋体"/>
        <w:b w:val="0"/>
        <w:i w:val="0"/>
        <w:color w:val="666666"/>
        <w:sz w:val="18"/>
      </w:rPr>
      <w:t xml:space="preserve">第 </w:t>
      <w:fldChar w:fldCharType="begin"/>
      <w:instrText xml:space="preserve"> PAGE </w:instrText>
      <w:fldChar w:fldCharType="end"/>
    </w:r>
    <w:r>
      <w:rPr>
        <w:rFonts w:ascii="Calibri" w:hAnsi="Calibri" w:eastAsia="宋体"/>
        <w:b w:val="0"/>
        <w:i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宋体"/>
        <w:b w:val="0"/>
        <w:i w:val="0"/>
        <w:color w:val="666666"/>
        <w:sz w:val="18"/>
      </w:rPr>
      <w:t>MTI Translation Practice Report | Chapter 3 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第三章 翻译问题的层级化修订与受控对比</dc:title>
  <dc:subject>MTI Chapter 3 composition pilot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