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黑体"/>
          <w:b/>
          <w:i w:val="0"/>
          <w:color w:val="203748"/>
          <w:sz w:val="44"/>
        </w:rPr>
        <w:t>第三章 翻译问题的层级化修订与受控对比</w:t>
      </w:r>
    </w:p>
    <w:p>
      <w:pPr>
        <w:spacing w:after="360"/>
        <w:jc w:val="center"/>
      </w:pPr>
      <w:r>
        <w:rPr>
          <w:rFonts w:ascii="Calibri" w:hAnsi="Calibri" w:eastAsia="宋体"/>
          <w:b w:val="0"/>
          <w:i/>
          <w:color w:val="666666"/>
          <w:sz w:val="20"/>
        </w:rPr>
        <w:t>隔离式写作试运行 | OpenCode Go · glm-5.2</w:t>
      </w:r>
    </w:p>
    <w:p>
      <w:pPr>
        <w:pStyle w:val="Heading1"/>
      </w:pPr>
      <w:r>
        <w:t>3 翻译问题的层级化修订与受控对比</w:t>
      </w:r>
    </w:p>
    <w:p>
      <w:pPr>
        <w:pStyle w:val="Heading2"/>
      </w:pPr>
      <w:r>
        <w:t>3.1 证据边界与分析路径</w:t>
      </w:r>
    </w:p>
    <w:p>
      <w:pPr>
        <w:jc w:val="both"/>
      </w:pPr>
      <w:r>
        <w:rPr>
          <w:rFonts w:ascii="Calibri" w:hAnsi="Calibri" w:eastAsia="宋体"/>
          <w:b w:val="0"/>
          <w:i w:val="0"/>
          <w:color w:val="000000"/>
          <w:sz w:val="22"/>
        </w:rPr>
        <w:t>本章以源译对应关系、话语指称与语用力度为递进主线，对翻译实践中的修订问题进行层级化分析。首先考察两项具有真实初译至终译记录的修订案例，提取其中可观察的文本变化与修订事实；随后引入一项受控合成对比案例，以补充真实修订证据未能覆盖的语用力度分析维度。在此过程中，本章严格区分历史修订事实、作者分析与合成对比证据，确保不同类型的证据支持相应强度的结论。</w:t>
      </w:r>
    </w:p>
    <w:p>
      <w:pPr>
        <w:jc w:val="both"/>
      </w:pPr>
      <w:r>
        <w:rPr>
          <w:rFonts w:ascii="Calibri" w:hAnsi="Calibri" w:eastAsia="宋体"/>
          <w:b w:val="0"/>
          <w:i w:val="0"/>
          <w:color w:val="000000"/>
          <w:sz w:val="22"/>
        </w:rPr>
        <w:t>现有项目证据仅支持 2 个通过修订资格门禁的真实修订案例；未用弱证据或无真实修订的片段补足第三个案例。为在真实历史证据不足的语用维度提供补充性分析，本章引入受控合成对比方法。合成对比案例以真实源文为基础，模拟初译与优化译文均为分析阶段生成，不代表作者的历史翻译；其合理性、错误实质性与修复有效性分别经过检查。合成案例只能展示合理的翻译失败模式，不能证明此类错误在人类译者中的实际发生频率。</w:t>
      </w:r>
    </w:p>
    <w:p>
      <w:pPr>
        <w:pStyle w:val="Heading2"/>
      </w:pPr>
      <w:r>
        <w:t>3.2 真实修订案例</w:t>
      </w:r>
    </w:p>
    <w:p>
      <w:pPr>
        <w:jc w:val="both"/>
      </w:pPr>
      <w:r>
        <w:rPr>
          <w:rFonts w:ascii="Calibri" w:hAnsi="Calibri" w:eastAsia="宋体"/>
          <w:b w:val="0"/>
          <w:i w:val="0"/>
          <w:color w:val="000000"/>
          <w:sz w:val="22"/>
        </w:rPr>
        <w:t>本节分析两项真实修订案例，分别关注源译对应关系的修复与话语指称的调整。两项案例均具有历史初译与终译记录，但缺乏同期的审校发现或修订理由记录，因此分析仅限于可观察的文本差异及其直接导致的文本效果，不推测译者的历史主观意图。</w:t>
      </w:r>
    </w:p>
    <w:p>
      <w:pPr>
        <w:pStyle w:val="Heading3"/>
      </w:pPr>
      <w:r>
        <w:t>3.2.1 源译对应关系的修复</w:t>
      </w:r>
    </w:p>
    <w:p>
      <w:pPr>
        <w:jc w:val="both"/>
      </w:pPr>
      <w:r>
        <w:rPr>
          <w:rFonts w:ascii="Calibri" w:hAnsi="Calibri" w:eastAsia="宋体"/>
          <w:b w:val="0"/>
          <w:i w:val="0"/>
          <w:color w:val="000000"/>
          <w:sz w:val="22"/>
        </w:rPr>
        <w:t>案例 seg-ec100d8686d3891e-0209 展示了一项针对源译对应关系的修订。该段位于文本末尾区域，源文为一部影片的英文题名。</w:t>
      </w:r>
    </w:p>
    <w:p>
      <w:pPr>
        <w:spacing w:before="80" w:after="80" w:line="290" w:lineRule="auto"/>
        <w:ind w:left="403" w:right="259"/>
      </w:pPr>
      <w:r>
        <w:rPr>
          <w:rFonts w:ascii="Calibri" w:hAnsi="Calibri" w:eastAsia="宋体"/>
          <w:b/>
          <w:i w:val="0"/>
          <w:color w:val="1F4D78"/>
          <w:sz w:val="21"/>
        </w:rPr>
        <w:t>源文（0209）：</w:t>
      </w:r>
      <w:r>
        <w:rPr>
          <w:rFonts w:ascii="Calibri" w:hAnsi="Calibri" w:eastAsia="宋体"/>
          <w:b w:val="0"/>
          <w:i w:val="0"/>
          <w:color w:val="333333"/>
          <w:sz w:val="21"/>
        </w:rPr>
        <w:t>RIOT IN CELL BLOCK 11</w:t>
        <w:br/>
        <w:t>&gt; [INITIAL seg-ec100d8686d3891e-0209]: 那是夏天，或是夏末。那是午后。</w:t>
        <w:br/>
        <w:t>&gt; [TARGET seg-ec100d8686d3891e-0209]: RIOT IN CELL BLOCK 11</w:t>
      </w:r>
    </w:p>
    <w:p>
      <w:pPr>
        <w:jc w:val="both"/>
      </w:pPr>
      <w:r>
        <w:rPr>
          <w:rFonts w:ascii="Calibri" w:hAnsi="Calibri" w:eastAsia="宋体"/>
          <w:b w:val="0"/>
          <w:i w:val="0"/>
          <w:color w:val="000000"/>
          <w:sz w:val="22"/>
        </w:rPr>
        <w:t>从历史初译与终译的对比来看，初译文本"那是夏天，或是夏末。那是午后。"与源文"RIOT IN CELL BLOCK 11"在语义和文本结构上均无对应关系，属于相邻正文片段误入当前段落的信息结构错位。实际修订动作将初译文本替换为源文题名文本，从而恢复了源译段落的精确对应关系。</w:t>
      </w:r>
    </w:p>
    <w:p>
      <w:pPr>
        <w:jc w:val="both"/>
      </w:pPr>
      <w:r>
        <w:rPr>
          <w:rFonts w:ascii="Calibri" w:hAnsi="Calibri" w:eastAsia="宋体"/>
          <w:b w:val="0"/>
          <w:i w:val="0"/>
          <w:color w:val="000000"/>
          <w:sz w:val="22"/>
        </w:rPr>
        <w:t>在备选方案层面，若将题名进行汉化处理，可提出反事实备选（counterfactual_rendering）："十一号牢房暴动"。然而，历史终译记录显示，译者最终选择保留英文题名。从结果看可解释为，该修订直接纠正了文本对齐错误，使目标文本片段与源文题名在表层形式上完全一致。在翻译效果维度上，该修订在指称清晰度（reference_clarity）上实现了具体改善：通过将"那是夏天，或是夏末。那是午后。"替换为"RIOT IN CELL BLOCK 11"，恢复了源文题名与目标文本片段之间的精确对应关系。</w:t>
      </w:r>
    </w:p>
    <w:p>
      <w:pPr>
        <w:jc w:val="both"/>
      </w:pPr>
      <w:r>
        <w:rPr>
          <w:rFonts w:ascii="Calibri" w:hAnsi="Calibri" w:eastAsia="宋体"/>
          <w:b w:val="0"/>
          <w:i w:val="0"/>
          <w:color w:val="000000"/>
          <w:sz w:val="22"/>
        </w:rPr>
        <w:t>然而，本项目证据不足以支持保留英文题名是有意的最终翻译策略这一推论。现有记录缺乏译者保留英文题名的理由说明，也缺乏解释相邻正文如何被误插入初译的项目工作流记录。因此，有界结论仅限于：该修订通过恢复源文题名纠正了文本对齐错误，但现有证据不能证明保留英文题名是一种经过深思熟虑的翻译策略。为获得更充分的解释，后续研究需要的人工证据包括：译者保留英文题名而非将其译出的理由说明，以及项目工作流记录中关于相邻正文被误插入初译的机制解释。</w:t>
      </w:r>
    </w:p>
    <w:p>
      <w:pPr>
        <w:pStyle w:val="Heading3"/>
      </w:pPr>
      <w:r>
        <w:t>3.2.2 话语指称的调整</w:t>
      </w:r>
    </w:p>
    <w:p>
      <w:pPr>
        <w:jc w:val="both"/>
      </w:pPr>
      <w:r>
        <w:rPr>
          <w:rFonts w:ascii="Calibri" w:hAnsi="Calibri" w:eastAsia="宋体"/>
          <w:b w:val="0"/>
          <w:i w:val="0"/>
          <w:color w:val="000000"/>
          <w:sz w:val="22"/>
        </w:rPr>
        <w:t>案例 seg-ec100d8686d3891e-0272 展示了一项针对话语指称的修订。该段同样位于文本末尾区域，涉及一段关键对话及其长期影响的描述。</w:t>
      </w:r>
    </w:p>
    <w:p>
      <w:pPr>
        <w:spacing w:before="80" w:after="80" w:line="290" w:lineRule="auto"/>
        <w:ind w:left="403" w:right="259"/>
      </w:pPr>
      <w:r>
        <w:rPr>
          <w:rFonts w:ascii="Calibri" w:hAnsi="Calibri" w:eastAsia="宋体"/>
          <w:b/>
          <w:i w:val="0"/>
          <w:color w:val="1F4D78"/>
          <w:sz w:val="21"/>
        </w:rPr>
        <w:t>源文（0272）：</w:t>
      </w:r>
      <w:r>
        <w:rPr>
          <w:rFonts w:ascii="Calibri" w:hAnsi="Calibri" w:eastAsia="宋体"/>
          <w:b w:val="0"/>
          <w:i w:val="0"/>
          <w:color w:val="333333"/>
          <w:sz w:val="21"/>
        </w:rPr>
        <w:t>“You will not have a war,” Matti suddenly said. Those five words have echoed within me for fifty years.</w:t>
        <w:br/>
        <w:t>&gt; [INITIAL seg-ec100d8686d3891e-0272]: “你不会经历战争，”马蒂突然说道。这五个字在我心中回响了五十年。</w:t>
        <w:br/>
        <w:t>&gt; [TARGET seg-ec100d8686d3891e-0272]: “你不会经历战争，”马蒂突然说道。这句话在我心中回响了五十年。</w:t>
      </w:r>
    </w:p>
    <w:p>
      <w:pPr>
        <w:jc w:val="both"/>
      </w:pPr>
      <w:r>
        <w:rPr>
          <w:rFonts w:ascii="Calibri" w:hAnsi="Calibri" w:eastAsia="宋体"/>
          <w:b w:val="0"/>
          <w:i w:val="0"/>
          <w:color w:val="000000"/>
          <w:sz w:val="22"/>
        </w:rPr>
        <w:t>源文中的"Those five words"直接回指前文引语"You will not have a war"的词数。在初译中，译者将其直译为"这五个字"。然而，前文引语的汉译"你不会经历战争"包含七个汉字，导致目标语表层的字数统计与源语的词数回指产生错位，形成指称消解上的矛盾。实际修订将"五个字"替换为"句话"，把无法直接迁移到汉语的源语词数回指转换为对整句言语的泛化指称。</w:t>
      </w:r>
    </w:p>
    <w:p>
      <w:pPr>
        <w:jc w:val="both"/>
      </w:pPr>
      <w:r>
        <w:rPr>
          <w:rFonts w:ascii="Calibri" w:hAnsi="Calibri" w:eastAsia="宋体"/>
          <w:b w:val="0"/>
          <w:i w:val="0"/>
          <w:color w:val="000000"/>
          <w:sz w:val="22"/>
        </w:rPr>
        <w:t>在备选方案层面，若强行保留字数对应，可提出反事实备选（counterfactual_rendering）："'你不会有战争，'马蒂突然说道。这五个字在我心中回响了五十年。"该备选通过缩减引语长度以匹配"五个字"，但历史终译并未采用此路径。最终决策与理由在于，将"五个字"改为"句话"避免了英文词数与汉字字数之间的数字错位，将指称对象转移至整个话语。在翻译效果维度上，该修订在指称清晰度（reference_clarity）上实现了具体改善：通过将"五个字"改为"句话"，消解了英文"five words"与包含超过五个汉字的中文引语之间的数字错位。</w:t>
      </w:r>
    </w:p>
    <w:p>
      <w:pPr>
        <w:jc w:val="both"/>
      </w:pPr>
      <w:r>
        <w:rPr>
          <w:rFonts w:ascii="Calibri" w:hAnsi="Calibri" w:eastAsia="宋体"/>
          <w:b w:val="0"/>
          <w:i w:val="0"/>
          <w:color w:val="000000"/>
          <w:sz w:val="22"/>
        </w:rPr>
        <w:t>本项目证据不足以支持译者做出该替换的历史动机。现有记录缺乏译者选择"这句话"而非调整引语长度的解释。因此，有界结论仅限于：该修订通过将具体的字数指称替换为对整句言语的一般指称，解决了指称错位问题，但无历史证据解释译者的确切推理过程。后续研究需要的人工证据包括：译者选择"这句话"而非其他备选方案（如调整引语长度以匹配"五个字"）的说明。</w:t>
      </w:r>
    </w:p>
    <w:p>
      <w:pPr>
        <w:pStyle w:val="Heading2"/>
      </w:pPr>
      <w:r>
        <w:t>3.3 合成对比案例</w:t>
      </w:r>
    </w:p>
    <w:p>
      <w:pPr>
        <w:jc w:val="both"/>
      </w:pPr>
      <w:r>
        <w:rPr>
          <w:rFonts w:ascii="Calibri" w:hAnsi="Calibri" w:eastAsia="宋体"/>
          <w:b w:val="0"/>
          <w:i w:val="0"/>
          <w:color w:val="000000"/>
          <w:sz w:val="22"/>
        </w:rPr>
        <w:t>本节引入一项合成对比案例 SC-0141，以补充真实修订证据中缺失的语用力度分析。该案例基于真实源文构造，旨在检验中性疑问结构与口语反问结构在命题内容近似不变时对语用力度的影响。</w:t>
      </w:r>
    </w:p>
    <w:p>
      <w:pPr>
        <w:pStyle w:val="Heading3"/>
      </w:pPr>
      <w:r>
        <w:t>3.3.1 语用暗示的模拟与优化</w:t>
      </w:r>
    </w:p>
    <w:p>
      <w:pPr>
        <w:jc w:val="both"/>
      </w:pPr>
      <w:r>
        <w:rPr>
          <w:rFonts w:ascii="Calibri" w:hAnsi="Calibri" w:eastAsia="宋体"/>
          <w:b w:val="0"/>
          <w:i w:val="0"/>
          <w:color w:val="000000"/>
          <w:sz w:val="22"/>
        </w:rPr>
        <w:t>案例 SC-0141 的源文包含一句带有轻蔑色彩的政治性反问句。</w:t>
      </w:r>
    </w:p>
    <w:p>
      <w:pPr>
        <w:spacing w:before="80" w:after="80" w:line="290" w:lineRule="auto"/>
        <w:ind w:left="403" w:right="259"/>
      </w:pPr>
      <w:r>
        <w:rPr>
          <w:rFonts w:ascii="Calibri" w:hAnsi="Calibri" w:eastAsia="宋体"/>
          <w:b/>
          <w:i w:val="0"/>
          <w:color w:val="1F4D78"/>
          <w:sz w:val="21"/>
        </w:rPr>
        <w:t>真实源文（SC-0141）：</w:t>
      </w:r>
      <w:r>
        <w:rPr>
          <w:rFonts w:ascii="Calibri" w:hAnsi="Calibri" w:eastAsia="宋体"/>
          <w:b w:val="0"/>
          <w:i w:val="0"/>
          <w:color w:val="333333"/>
          <w:sz w:val="21"/>
        </w:rPr>
        <w:t>After Israel’s tenth anniversary celebrations, in the spring of 1958, he told me how he once said to Berl Katznelson, a founder of Labor Zionism: “What do you need that Ben-Gurion for?”</w:t>
      </w:r>
    </w:p>
    <w:p>
      <w:pPr>
        <w:jc w:val="both"/>
      </w:pPr>
      <w:r>
        <w:rPr>
          <w:rFonts w:ascii="Calibri" w:hAnsi="Calibri" w:eastAsia="宋体"/>
          <w:b w:val="0"/>
          <w:i w:val="0"/>
          <w:color w:val="000000"/>
          <w:sz w:val="22"/>
        </w:rPr>
        <w:t>为考察可能偏差，构造如下模拟初译：</w:t>
      </w:r>
    </w:p>
    <w:p>
      <w:pPr>
        <w:spacing w:before="80" w:after="80" w:line="290" w:lineRule="auto"/>
        <w:ind w:left="403" w:right="259"/>
      </w:pPr>
      <w:r>
        <w:rPr>
          <w:rFonts w:ascii="Calibri" w:hAnsi="Calibri" w:eastAsia="宋体"/>
          <w:b/>
          <w:i w:val="0"/>
          <w:color w:val="1F4D78"/>
          <w:sz w:val="21"/>
        </w:rPr>
        <w:t>模拟初译（SC-0141）：</w:t>
      </w:r>
      <w:r>
        <w:rPr>
          <w:rFonts w:ascii="Calibri" w:hAnsi="Calibri" w:eastAsia="宋体"/>
          <w:b w:val="0"/>
          <w:i w:val="0"/>
          <w:color w:val="333333"/>
          <w:sz w:val="21"/>
        </w:rPr>
        <w:t>在1958年春天以色列建国十周年庆典之后，他告诉我有一次他对劳工锡安主义的创始人贝尔·卡茨内尔森说：“你为什么需要那个本-古里安？”</w:t>
      </w:r>
    </w:p>
    <w:p>
      <w:pPr>
        <w:jc w:val="both"/>
      </w:pPr>
      <w:r>
        <w:rPr>
          <w:rFonts w:ascii="Calibri" w:hAnsi="Calibri" w:eastAsia="宋体"/>
          <w:b w:val="0"/>
          <w:i w:val="0"/>
          <w:color w:val="000000"/>
          <w:sz w:val="22"/>
        </w:rPr>
        <w:t>该模拟初译在句法上忠实于源文，将"What do you need X for?"译为"你为什么需要X"，并保留了指示词"那个"以呼应英文的"that"。然而，该翻译难点在于源文并非中性信息探询，而是口语化、带有轻蔑色彩的反问句，暗示本-古里安是多余或惹人厌的。模拟初译的错误诱因与诊断在于："你为什么需要……"在汉语中读作正式的中性疑问句，抽离了原文轻蔑、对抗的语用力度。尽管"那个"带有微弱的贬抑色彩，但"你为什么需要"的书面语体压制了这一色彩。这种意义/功能失真表现为：原文作为一句带有政治张力的轻蔑话语，传达了说话者对本-古里安的负面评价；而模拟初译将其软化为一中性疑问句，使说话者听起来像是在真诚发问，从而改变了人物性格化特征与轶事的情感质感。</w:t>
      </w:r>
    </w:p>
    <w:p>
      <w:pPr>
        <w:jc w:val="both"/>
      </w:pPr>
      <w:r>
        <w:rPr>
          <w:rFonts w:ascii="Calibri" w:hAnsi="Calibri" w:eastAsia="宋体"/>
          <w:b w:val="0"/>
          <w:i w:val="0"/>
          <w:color w:val="000000"/>
          <w:sz w:val="22"/>
        </w:rPr>
        <w:t>针对该模拟错误，提出优化译文如下：</w:t>
      </w:r>
    </w:p>
    <w:p>
      <w:pPr>
        <w:spacing w:before="80" w:after="80" w:line="290" w:lineRule="auto"/>
        <w:ind w:left="403" w:right="259"/>
      </w:pPr>
      <w:r>
        <w:rPr>
          <w:rFonts w:ascii="Calibri" w:hAnsi="Calibri" w:eastAsia="宋体"/>
          <w:b/>
          <w:i w:val="0"/>
          <w:color w:val="1F4D78"/>
          <w:sz w:val="21"/>
        </w:rPr>
        <w:t>优化译文（SC-0141）：</w:t>
      </w:r>
      <w:r>
        <w:rPr>
          <w:rFonts w:ascii="Calibri" w:hAnsi="Calibri" w:eastAsia="宋体"/>
          <w:b w:val="0"/>
          <w:i w:val="0"/>
          <w:color w:val="333333"/>
          <w:sz w:val="21"/>
        </w:rPr>
        <w:t>在1958年春天以色列建国十周年庆典之后，他告诉我有一次他对劳工锡安主义的创始人贝尔·卡茨内尔森说：“你要那个本-古里安干什么？”</w:t>
      </w:r>
    </w:p>
    <w:p>
      <w:pPr>
        <w:jc w:val="both"/>
      </w:pPr>
      <w:r>
        <w:rPr>
          <w:rFonts w:ascii="Calibri" w:hAnsi="Calibri" w:eastAsia="宋体"/>
          <w:b w:val="0"/>
          <w:i w:val="0"/>
          <w:color w:val="000000"/>
          <w:sz w:val="22"/>
        </w:rPr>
        <w:t>在备选方案层面，该优化译文亦可作为分析对比（analytical_comparison）方案，与模拟初译形成直接对照。AI 优化的修复机制与有效性在于：将中性疑问句"你为什么需要那个本-古里安？"改为口语化反问句"你要那个本-古里安干什么？"，使用了"要……干什么"的口语反问结构。该修复在不改变命题内容的前提下，还原了原文轻蔑、质问的语用力度。在翻译效果维度上，该优化在语用力度（pragmatic_force）上实现了具体改善：通过将"你为什么需要"替换为"你要……干什么"，将语域从正式的中性探询转变为口语反问句，恢复了轻蔑语调。</w:t>
      </w:r>
    </w:p>
    <w:p>
      <w:pPr>
        <w:jc w:val="both"/>
      </w:pPr>
      <w:r>
        <w:rPr>
          <w:rFonts w:ascii="Calibri" w:hAnsi="Calibri" w:eastAsia="宋体"/>
          <w:b w:val="0"/>
          <w:i w:val="0"/>
          <w:color w:val="000000"/>
          <w:sz w:val="22"/>
        </w:rPr>
        <w:t>本项目证据不足以支持将该案例视为作者历史初译的一部分。该合成对比案例的模拟初译和优化译文均为分析阶段生成，不属于作者翻译历史。因此，有界结论仅限于：该受控对比展示了一种合理的翻译失败模式，即反问句被扁平化为中性疑问句；它不证明此类错误在人类译者中的发生频率，也不代表作者的历史翻译过程。</w:t>
      </w:r>
    </w:p>
    <w:p>
      <w:pPr>
        <w:pStyle w:val="Heading2"/>
      </w:pPr>
      <w:r>
        <w:t>3.4 跨案例综合与局限</w:t>
      </w:r>
    </w:p>
    <w:p>
      <w:pPr>
        <w:jc w:val="both"/>
      </w:pPr>
      <w:r>
        <w:rPr>
          <w:rFonts w:ascii="Calibri" w:hAnsi="Calibri" w:eastAsia="宋体"/>
          <w:b w:val="0"/>
          <w:i w:val="0"/>
          <w:color w:val="000000"/>
          <w:sz w:val="22"/>
        </w:rPr>
        <w:t>综合本章三项材料，可以观察到从段落对应、话语指称到语用力度的递进分析路径。案例 seg-ec100d8686d3891e-0209 证明了源译对应关系的修复，案例 seg-ec100d8686d3891e-0272 证明了实际词语替换及其可观察的指称效果，而合成对比案例 SC-0141 则补充展示了一种语用力度失真与修复的机制。</w:t>
      </w:r>
    </w:p>
    <w:p>
      <w:pPr>
        <w:jc w:val="both"/>
      </w:pPr>
      <w:r>
        <w:rPr>
          <w:rFonts w:ascii="Calibri" w:hAnsi="Calibri" w:eastAsia="宋体"/>
          <w:b w:val="0"/>
          <w:i w:val="0"/>
          <w:color w:val="000000"/>
          <w:sz w:val="22"/>
        </w:rPr>
        <w:t>然而，历史证据与合成证据支持的结论强度必须分开。两项真实修订案例支持的是实际发生的修订事实，其文本变化可由源文与两版译文直接比较得出；但由于缺乏同期的发现记录与修订理由，这些案例不能声称历史动机，也不能单独证明翻译成品的整体质量。合成案例只支持一种经验证的可能失败机制，其合理性、错误实质性与优化有效性虽通过独立检查，但若将两类证据并列为同等案例，章节会产生方法突变感。因此，本章严格区分了真实修订事实与受控合成对比，确保所有结论均限定在各自案例的证据边界之内，禁止外推为一般规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b w:val="0"/>
        <w:i w:val="0"/>
        <w:color w:val="666666"/>
        <w:sz w:val="18"/>
      </w:rPr>
      <w:t xml:space="preserve">第 </w:t>
      <w:fldChar w:fldCharType="begin"/>
      <w:instrText xml:space="preserve"> PAGE </w:instrText>
      <w:fldChar w:fldCharType="end"/>
    </w:r>
    <w:r>
      <w:rPr>
        <w:rFonts w:ascii="Calibri" w:hAnsi="Calibri" w:eastAsia="宋体"/>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宋体"/>
        <w:b w:val="0"/>
        <w:i w:val="0"/>
        <w:color w:val="666666"/>
        <w:sz w:val="18"/>
      </w:rPr>
      <w:t>MTI Translation Practice Report | Chapter 3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翻译问题的层级化修订与受控对比</dc:title>
  <dc:subject>MTI Chapter 3 composition 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