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黑体"/>
          <w:b/>
          <w:i w:val="0"/>
          <w:color w:val="203748"/>
          <w:sz w:val="44"/>
        </w:rPr>
        <w:t>第三章 翻译问题的层级化修订与受控对比</w:t>
      </w:r>
    </w:p>
    <w:p>
      <w:pPr>
        <w:spacing w:after="360"/>
        <w:jc w:val="center"/>
      </w:pPr>
      <w:r>
        <w:rPr>
          <w:rFonts w:ascii="Calibri" w:hAnsi="Calibri" w:eastAsia="宋体"/>
          <w:b w:val="0"/>
          <w:i/>
          <w:color w:val="666666"/>
          <w:sz w:val="20"/>
        </w:rPr>
        <w:t>隔离式写作试运行 | OpenCode Go · glm-5.2</w:t>
      </w:r>
    </w:p>
    <w:p>
      <w:pPr>
        <w:pStyle w:val="Heading1"/>
      </w:pPr>
      <w:r>
        <w:t>3 翻译问题的层级化修订与受控对比</w:t>
      </w:r>
    </w:p>
    <w:p>
      <w:pPr>
        <w:pStyle w:val="Heading2"/>
      </w:pPr>
      <w:r>
        <w:t>3.1 证据边界与分析路径</w:t>
      </w:r>
    </w:p>
    <w:p>
      <w:pPr>
        <w:jc w:val="both"/>
      </w:pPr>
      <w:r>
        <w:rPr>
          <w:rFonts w:ascii="Calibri" w:hAnsi="Calibri" w:eastAsia="宋体"/>
          <w:b w:val="0"/>
          <w:i w:val="0"/>
          <w:color w:val="000000"/>
          <w:sz w:val="22"/>
        </w:rPr>
        <w:t>本章以源译对应关系、话语指称和语用力度为递进主线，对两项真实修订案例和一项受控合成对比案例展开分析。两项真实修订案例分别取自项目段 209 与段 272，均保留了历史初译与历史终译的文本记录，但 finding、repair rationale 与作者说明均缺失，因此只能支持文本层面的差异分析与有限的过程推断，不能支持历史修订动机的因果归因。合成对比案例 SC-0141 以真实源文为基础，模拟初译与优化译文均为分析阶段生成，不代表作者的历史翻译过程。</w:t>
      </w:r>
    </w:p>
    <w:p>
      <w:pPr>
        <w:jc w:val="both"/>
      </w:pPr>
      <w:r>
        <w:rPr>
          <w:rFonts w:ascii="Calibri" w:hAnsi="Calibri" w:eastAsia="宋体"/>
          <w:b w:val="0"/>
          <w:i w:val="0"/>
          <w:color w:val="000000"/>
          <w:sz w:val="22"/>
        </w:rPr>
        <w:t>现有项目证据仅支持 2 个通过修订资格门禁的真实修订案例；未用弱证据或无真实修订的片段补足第三个案例。为在不冒充翻译历史的条件下补充一种机制层面的翻译问题分析，本章引入一项受控合成对比案例，其合理性、错误实质性与修复有效性分别经过独立检查。</w:t>
      </w:r>
    </w:p>
    <w:p>
      <w:pPr>
        <w:jc w:val="both"/>
      </w:pPr>
      <w:r>
        <w:rPr>
          <w:rFonts w:ascii="Calibri" w:hAnsi="Calibri" w:eastAsia="宋体"/>
          <w:b w:val="0"/>
          <w:i w:val="0"/>
          <w:color w:val="000000"/>
          <w:sz w:val="22"/>
        </w:rPr>
        <w:t>合成对比案例以真实源文为基础，模拟初译与优化译文均为分析阶段生成，不代表作者的历史翻译；其合理性、错误实质性与修复有效性分别经过检查。</w:t>
      </w:r>
    </w:p>
    <w:p>
      <w:pPr>
        <w:jc w:val="both"/>
      </w:pPr>
      <w:r>
        <w:rPr>
          <w:rFonts w:ascii="Calibri" w:hAnsi="Calibri" w:eastAsia="宋体"/>
          <w:b w:val="0"/>
          <w:i w:val="0"/>
          <w:color w:val="000000"/>
          <w:sz w:val="22"/>
        </w:rPr>
        <w:t>合成案例只能展示合理的翻译失败模式，不能证明此类错误在人类译者中的实际发生频率。</w:t>
      </w:r>
    </w:p>
    <w:p>
      <w:pPr>
        <w:jc w:val="both"/>
      </w:pPr>
      <w:r>
        <w:rPr>
          <w:rFonts w:ascii="Calibri" w:hAnsi="Calibri" w:eastAsia="宋体"/>
          <w:b w:val="0"/>
          <w:i w:val="0"/>
          <w:color w:val="000000"/>
          <w:sz w:val="22"/>
        </w:rPr>
        <w:t>在分析维度上，本章依次考察：源译段对应关系是否恢复（段 209）、话语指称在目标语表层是否可验证（段 272）、语用力度是否在命题内容近似不变时发生改变（SC-0141）。三项材料形成从段落对应、话语指称到语用力度的递进，但历史证据与合成证据支持的结论强度必须分开。</w:t>
      </w:r>
    </w:p>
    <w:p>
      <w:pPr>
        <w:pStyle w:val="Heading2"/>
      </w:pPr>
      <w:r>
        <w:t>3.2 真实修订案例：对应关系与话语指称</w:t>
      </w:r>
    </w:p>
    <w:p>
      <w:pPr>
        <w:pStyle w:val="Heading3"/>
      </w:pPr>
      <w:r>
        <w:t>3.2.1 段 209：源译对应关系的恢复</w:t>
      </w:r>
    </w:p>
    <w:p>
      <w:pPr>
        <w:jc w:val="both"/>
      </w:pPr>
      <w:r>
        <w:rPr>
          <w:rFonts w:ascii="Calibri" w:hAnsi="Calibri" w:eastAsia="宋体"/>
          <w:b w:val="0"/>
          <w:i w:val="0"/>
          <w:color w:val="000000"/>
          <w:sz w:val="22"/>
        </w:rPr>
        <w:t>本案例的可证实修订是把与源文无关的相邻正文片段替换为题名文本，从而恢复源译段对应关系。现有记录不能证明保留英文题名是有意的最终翻译策略。</w:t>
      </w:r>
    </w:p>
    <w:p>
      <w:pPr>
        <w:jc w:val="both"/>
      </w:pPr>
      <w:r>
        <w:rPr>
          <w:rFonts w:ascii="Calibri" w:hAnsi="Calibri" w:eastAsia="宋体"/>
          <w:b w:val="0"/>
          <w:i w:val="0"/>
          <w:color w:val="000000"/>
          <w:sz w:val="22"/>
        </w:rPr>
        <w:t>源文、历史初译与历史终译如下：</w:t>
      </w:r>
    </w:p>
    <w:p>
      <w:pPr>
        <w:spacing w:before="80" w:after="80" w:line="290" w:lineRule="auto"/>
        <w:ind w:left="403" w:right="259"/>
      </w:pPr>
      <w:r>
        <w:rPr>
          <w:rFonts w:ascii="Calibri" w:hAnsi="Calibri" w:eastAsia="宋体"/>
          <w:b/>
          <w:i w:val="0"/>
          <w:color w:val="1F4D78"/>
          <w:sz w:val="21"/>
        </w:rPr>
        <w:t>源文（0209）：</w:t>
      </w:r>
      <w:r>
        <w:rPr>
          <w:rFonts w:ascii="Calibri" w:hAnsi="Calibri" w:eastAsia="宋体"/>
          <w:b w:val="0"/>
          <w:i w:val="0"/>
          <w:color w:val="333333"/>
          <w:sz w:val="21"/>
        </w:rPr>
        <w:t>RIOT IN CELL BLOCK 11</w:t>
      </w:r>
    </w:p>
    <w:p>
      <w:pPr>
        <w:spacing w:before="80" w:after="80" w:line="290" w:lineRule="auto"/>
        <w:ind w:left="403" w:right="259"/>
      </w:pPr>
      <w:r>
        <w:rPr>
          <w:rFonts w:ascii="Calibri" w:hAnsi="Calibri" w:eastAsia="宋体"/>
          <w:b/>
          <w:i w:val="0"/>
          <w:color w:val="1F4D78"/>
          <w:sz w:val="21"/>
        </w:rPr>
        <w:t>历史初译（0209）：</w:t>
      </w:r>
      <w:r>
        <w:rPr>
          <w:rFonts w:ascii="Calibri" w:hAnsi="Calibri" w:eastAsia="宋体"/>
          <w:b w:val="0"/>
          <w:i w:val="0"/>
          <w:color w:val="333333"/>
          <w:sz w:val="21"/>
        </w:rPr>
        <w:t>那是夏天，或是夏末。那是午后。</w:t>
      </w:r>
    </w:p>
    <w:p>
      <w:pPr>
        <w:spacing w:before="80" w:after="80" w:line="290" w:lineRule="auto"/>
        <w:ind w:left="403" w:right="259"/>
      </w:pPr>
      <w:r>
        <w:rPr>
          <w:rFonts w:ascii="Calibri" w:hAnsi="Calibri" w:eastAsia="宋体"/>
          <w:b/>
          <w:i w:val="0"/>
          <w:color w:val="1F4D78"/>
          <w:sz w:val="21"/>
        </w:rPr>
        <w:t>历史终译（0209）：</w:t>
      </w:r>
      <w:r>
        <w:rPr>
          <w:rFonts w:ascii="Calibri" w:hAnsi="Calibri" w:eastAsia="宋体"/>
          <w:b w:val="0"/>
          <w:i w:val="0"/>
          <w:color w:val="333333"/>
          <w:sz w:val="21"/>
        </w:rPr>
        <w:t>RIOT IN CELL BLOCK 11</w:t>
      </w:r>
    </w:p>
    <w:p>
      <w:pPr>
        <w:jc w:val="both"/>
      </w:pPr>
      <w:r>
        <w:rPr>
          <w:rFonts w:ascii="Calibri" w:hAnsi="Calibri" w:eastAsia="宋体"/>
          <w:b w:val="0"/>
          <w:i w:val="0"/>
          <w:color w:val="000000"/>
          <w:sz w:val="22"/>
        </w:rPr>
        <w:t>翻译问题。 历史初译文本与本段源文在语言和内容上都无对应关系。源文为英文题名 "RIOT IN CELL BLOCK 11"，而初译产出的是一段中文叙事性描写"那是夏天，或是夏末。那是午后。"，两者之间不存在语义、语用或形式上的对应。从结果看，初译文本更可能源自相邻段落的正文内容被错误地填入当前段，但现有记录中无 finding 或工作流日志可以证实这一推断。</w:t>
      </w:r>
    </w:p>
    <w:p>
      <w:pPr>
        <w:jc w:val="both"/>
      </w:pPr>
      <w:r>
        <w:rPr>
          <w:rFonts w:ascii="Calibri" w:hAnsi="Calibri" w:eastAsia="宋体"/>
          <w:b w:val="0"/>
          <w:i w:val="0"/>
          <w:color w:val="000000"/>
          <w:sz w:val="22"/>
        </w:rPr>
        <w:t>文本差异。 初译与终译之间的差异是整体性的：初译为三句中文叙事片段，终译为与源文完全一致的英文题名。这一替换不是局部词语修订，而是将整段目标文本替换为源文原文。</w:t>
      </w:r>
    </w:p>
    <w:p>
      <w:pPr>
        <w:jc w:val="both"/>
      </w:pPr>
      <w:r>
        <w:rPr>
          <w:rFonts w:ascii="Calibri" w:hAnsi="Calibri" w:eastAsia="宋体"/>
          <w:b w:val="0"/>
          <w:i w:val="0"/>
          <w:color w:val="000000"/>
          <w:sz w:val="22"/>
        </w:rPr>
        <w:t>实际修订。 项目记录显示用户对该段执行了"重新翻译"操作。可观察到的修订是将无对应关系的中文片段整体替换为源文题名，客观上恢复了当前段的源译对应。</w:t>
      </w:r>
    </w:p>
    <w:p>
      <w:pPr>
        <w:jc w:val="both"/>
      </w:pPr>
      <w:r>
        <w:rPr>
          <w:rFonts w:ascii="Calibri" w:hAnsi="Calibri" w:eastAsia="宋体"/>
          <w:b w:val="0"/>
          <w:i w:val="0"/>
          <w:color w:val="000000"/>
          <w:sz w:val="22"/>
        </w:rPr>
        <w:t>备选方案。 存在一种假设性对照（counterfactual_rendering）：将题名译为中文如"第十一号牢房的暴动"，但现有记录中无此历史备选，仅作为反事实推演，不能写成历史事实。</w:t>
      </w:r>
    </w:p>
    <w:p>
      <w:pPr>
        <w:jc w:val="both"/>
      </w:pPr>
      <w:r>
        <w:rPr>
          <w:rFonts w:ascii="Calibri" w:hAnsi="Calibri" w:eastAsia="宋体"/>
          <w:b w:val="0"/>
          <w:i w:val="0"/>
          <w:color w:val="000000"/>
          <w:sz w:val="22"/>
        </w:rPr>
        <w:t>最终决策与理由。 终译保留了英文题名 "RIOT IN CELL BLOCK 11"。从结果看可解释为：该修订恢复了本段的源译对应关系，使目标文本与源文在形式和内容上一致。但保留英文题名而不译出的原因未记录，现有证据不足以判断这是有意的翻译策略还是工作流程中的临时处理。</w:t>
      </w:r>
    </w:p>
    <w:p>
      <w:pPr>
        <w:jc w:val="both"/>
      </w:pPr>
      <w:r>
        <w:rPr>
          <w:rFonts w:ascii="Calibri" w:hAnsi="Calibri" w:eastAsia="宋体"/>
          <w:b w:val="0"/>
          <w:i w:val="0"/>
          <w:color w:val="000000"/>
          <w:sz w:val="22"/>
        </w:rPr>
        <w:t>翻译效果。 在指称清晰度（reference_clarity）维度上，初译"那是夏天，或是夏末。那是午后。"与题名源文无对应，终译"RIOT IN CELL BLOCK 11"与本段源文一致，源译对应关系得到恢复。</w:t>
      </w:r>
    </w:p>
    <w:p>
      <w:pPr>
        <w:jc w:val="both"/>
      </w:pPr>
      <w:r>
        <w:rPr>
          <w:rFonts w:ascii="Calibri" w:hAnsi="Calibri" w:eastAsia="宋体"/>
          <w:b w:val="0"/>
          <w:i w:val="0"/>
          <w:color w:val="000000"/>
          <w:sz w:val="22"/>
        </w:rPr>
        <w:t>证据边界与有界结论。 该修订恢复了本段的源译对应，但现有证据既不说明初译错配的生成机制，也不证明保留英文题名是有意翻译策略。本项目证据不足以支持以下人工证据所涉的推断：保留英文题名而不译出的原因；初译为何出现与本段无对应关系文本的工作流记录。</w:t>
      </w:r>
    </w:p>
    <w:p>
      <w:pPr>
        <w:pStyle w:val="Heading3"/>
      </w:pPr>
      <w:r>
        <w:t>3.2.2 段 272：词数回指向整句指称的转换</w:t>
      </w:r>
    </w:p>
    <w:p>
      <w:pPr>
        <w:jc w:val="both"/>
      </w:pPr>
      <w:r>
        <w:rPr>
          <w:rFonts w:ascii="Calibri" w:hAnsi="Calibri" w:eastAsia="宋体"/>
          <w:b w:val="0"/>
          <w:i w:val="0"/>
          <w:color w:val="000000"/>
          <w:sz w:val="22"/>
        </w:rPr>
        <w:t>本案例将"五个字"改为"这句话"，把无法直接迁移到汉语的源语词数回指转换为对整句言语的指称，避免目标语表层计数与引语形式不一致。</w:t>
      </w:r>
    </w:p>
    <w:p>
      <w:pPr>
        <w:jc w:val="both"/>
      </w:pPr>
      <w:r>
        <w:rPr>
          <w:rFonts w:ascii="Calibri" w:hAnsi="Calibri" w:eastAsia="宋体"/>
          <w:b w:val="0"/>
          <w:i w:val="0"/>
          <w:color w:val="000000"/>
          <w:sz w:val="22"/>
        </w:rPr>
        <w:t>源文、历史初译与历史终译如下：</w:t>
      </w:r>
    </w:p>
    <w:p>
      <w:pPr>
        <w:spacing w:before="80" w:after="80" w:line="290" w:lineRule="auto"/>
        <w:ind w:left="403" w:right="259"/>
      </w:pPr>
      <w:r>
        <w:rPr>
          <w:rFonts w:ascii="Calibri" w:hAnsi="Calibri" w:eastAsia="宋体"/>
          <w:b/>
          <w:i w:val="0"/>
          <w:color w:val="1F4D78"/>
          <w:sz w:val="21"/>
        </w:rPr>
        <w:t>源文（0272）：</w:t>
      </w:r>
      <w:r>
        <w:rPr>
          <w:rFonts w:ascii="Calibri" w:hAnsi="Calibri" w:eastAsia="宋体"/>
          <w:b w:val="0"/>
          <w:i w:val="0"/>
          <w:color w:val="333333"/>
          <w:sz w:val="21"/>
        </w:rPr>
        <w:t>“You will not have a war,” Matti suddenly said. Those five words have echoed within me for fifty years.</w:t>
      </w:r>
    </w:p>
    <w:p>
      <w:pPr>
        <w:spacing w:before="80" w:after="80" w:line="290" w:lineRule="auto"/>
        <w:ind w:left="403" w:right="259"/>
      </w:pPr>
      <w:r>
        <w:rPr>
          <w:rFonts w:ascii="Calibri" w:hAnsi="Calibri" w:eastAsia="宋体"/>
          <w:b/>
          <w:i w:val="0"/>
          <w:color w:val="1F4D78"/>
          <w:sz w:val="21"/>
        </w:rPr>
        <w:t>历史初译（0272）：</w:t>
      </w:r>
      <w:r>
        <w:rPr>
          <w:rFonts w:ascii="Calibri" w:hAnsi="Calibri" w:eastAsia="宋体"/>
          <w:b w:val="0"/>
          <w:i w:val="0"/>
          <w:color w:val="333333"/>
          <w:sz w:val="21"/>
        </w:rPr>
        <w:t>“你不会经历战争，”马蒂突然说道。这五个字在我心中回响了五十年。</w:t>
      </w:r>
    </w:p>
    <w:p>
      <w:pPr>
        <w:spacing w:before="80" w:after="80" w:line="290" w:lineRule="auto"/>
        <w:ind w:left="403" w:right="259"/>
      </w:pPr>
      <w:r>
        <w:rPr>
          <w:rFonts w:ascii="Calibri" w:hAnsi="Calibri" w:eastAsia="宋体"/>
          <w:b/>
          <w:i w:val="0"/>
          <w:color w:val="1F4D78"/>
          <w:sz w:val="21"/>
        </w:rPr>
        <w:t>历史终译（0272）：</w:t>
      </w:r>
      <w:r>
        <w:rPr>
          <w:rFonts w:ascii="Calibri" w:hAnsi="Calibri" w:eastAsia="宋体"/>
          <w:b w:val="0"/>
          <w:i w:val="0"/>
          <w:color w:val="333333"/>
          <w:sz w:val="21"/>
        </w:rPr>
        <w:t>“你不会经历战争，”马蒂突然说道。这句话在我心中回响了五十年。</w:t>
      </w:r>
    </w:p>
    <w:p>
      <w:pPr>
        <w:jc w:val="both"/>
      </w:pPr>
      <w:r>
        <w:rPr>
          <w:rFonts w:ascii="Calibri" w:hAnsi="Calibri" w:eastAsia="宋体"/>
          <w:b w:val="0"/>
          <w:i w:val="0"/>
          <w:color w:val="000000"/>
          <w:sz w:val="22"/>
        </w:rPr>
        <w:t>翻译问题。 源文 "Those five words" 中的 "five words" 是对英文引语 "You will not have a war" 的词数回指。英文引语恰好为五个词，因此 "Those five words" 在源语中是可验证的计数回指。初译"这五个字"在汉语中指向引语的汉字数，而中文引语"你不会经历战争"为六个汉字，并非五个字，造成目标语表层计数与引语形式不一致。</w:t>
      </w:r>
    </w:p>
    <w:p>
      <w:pPr>
        <w:jc w:val="both"/>
      </w:pPr>
      <w:r>
        <w:rPr>
          <w:rFonts w:ascii="Calibri" w:hAnsi="Calibri" w:eastAsia="宋体"/>
          <w:b w:val="0"/>
          <w:i w:val="0"/>
          <w:color w:val="000000"/>
          <w:sz w:val="22"/>
        </w:rPr>
        <w:t>文本差异。 修订仅涉及一个词语的替换：初译"这五个字"中的"五个字"被替换为终译"这句话"中的"句话"。句法结构和其他成分均未改变。</w:t>
      </w:r>
    </w:p>
    <w:p>
      <w:pPr>
        <w:jc w:val="both"/>
      </w:pPr>
      <w:r>
        <w:rPr>
          <w:rFonts w:ascii="Calibri" w:hAnsi="Calibri" w:eastAsia="宋体"/>
          <w:b w:val="0"/>
          <w:i w:val="0"/>
          <w:color w:val="000000"/>
          <w:sz w:val="22"/>
        </w:rPr>
        <w:t>实际修订。 修订改为"这句话"，将对词数的指称转换为对整句言语的指称。从结果看可解释为：该替换消除了英语词数与汉语字数之间的表层不一致，使回指不再依赖目标语中无法成立的计数。</w:t>
      </w:r>
    </w:p>
    <w:p>
      <w:pPr>
        <w:jc w:val="both"/>
      </w:pPr>
      <w:r>
        <w:rPr>
          <w:rFonts w:ascii="Calibri" w:hAnsi="Calibri" w:eastAsia="宋体"/>
          <w:b w:val="0"/>
          <w:i w:val="0"/>
          <w:color w:val="000000"/>
          <w:sz w:val="22"/>
        </w:rPr>
        <w:t>备选方案。 存在两种假设性对照（counterfactual_rendering）：其一，将 "Those five words" 译为"那五个词"，以"词"区分英文 word 与汉字，但现有记录中无此历史备选；其二，调整引语翻译使其恰好为五个汉字，但无证据表明译者考虑过此方案。两种备选均为反事实推演，不能写成历史事实。</w:t>
      </w:r>
    </w:p>
    <w:p>
      <w:pPr>
        <w:jc w:val="both"/>
      </w:pPr>
      <w:r>
        <w:rPr>
          <w:rFonts w:ascii="Calibri" w:hAnsi="Calibri" w:eastAsia="宋体"/>
          <w:b w:val="0"/>
          <w:i w:val="0"/>
          <w:color w:val="000000"/>
          <w:sz w:val="22"/>
        </w:rPr>
        <w:t>最终决策与理由。 终译采用"这句话"替代"这五个字"。可观察到的替换客观上消除了英语词数与汉语字数的表层不一致，使回指对象变为整句言语。历史动机未记录，不能把文本效果写成已记录的主观意图。</w:t>
      </w:r>
    </w:p>
    <w:p>
      <w:pPr>
        <w:jc w:val="both"/>
      </w:pPr>
      <w:r>
        <w:rPr>
          <w:rFonts w:ascii="Calibri" w:hAnsi="Calibri" w:eastAsia="宋体"/>
          <w:b w:val="0"/>
          <w:i w:val="0"/>
          <w:color w:val="000000"/>
          <w:sz w:val="22"/>
        </w:rPr>
        <w:t>翻译效果。 在指称清晰度（reference_clarity）维度上，初译"这五个字"中的"五"与中文引语实际汉字数不匹配，回指在目标语表层无法验证；修订"这句话"不依赖计数，回指对象明确为前文引述的整句话语。</w:t>
      </w:r>
    </w:p>
    <w:p>
      <w:pPr>
        <w:jc w:val="both"/>
      </w:pPr>
      <w:r>
        <w:rPr>
          <w:rFonts w:ascii="Calibri" w:hAnsi="Calibri" w:eastAsia="宋体"/>
          <w:b w:val="0"/>
          <w:i w:val="0"/>
          <w:color w:val="000000"/>
          <w:sz w:val="22"/>
        </w:rPr>
        <w:t>证据边界与有界结论。 本案例仅证明该译段存在一次将"五个字"改为"句话"的修订，该修订消解了源语词数回指在汉语中的计数不一致问题；不能推断修订者的历史决策过程或是否考虑过其他方案。本项目证据不足以支持以下人工证据所涉的推断：译者关于 "five words" 回指处理的决策说明；项目术语表或翻译规范中关于词数/字数回指的处理指导；修订者审稿意见或批注记录。</w:t>
      </w:r>
    </w:p>
    <w:p>
      <w:pPr>
        <w:pStyle w:val="Heading2"/>
      </w:pPr>
      <w:r>
        <w:t>3.3 合成对比案例：语用力度的补充性受控检验</w:t>
      </w:r>
    </w:p>
    <w:p>
      <w:pPr>
        <w:jc w:val="both"/>
      </w:pPr>
      <w:r>
        <w:rPr>
          <w:rFonts w:ascii="Calibri" w:hAnsi="Calibri" w:eastAsia="宋体"/>
          <w:b w:val="0"/>
          <w:i w:val="0"/>
          <w:color w:val="000000"/>
          <w:sz w:val="22"/>
        </w:rPr>
        <w:t>为考察可能偏差，构造如下模拟初译。本案例的受控对比显示，中性疑问结构与口语反问结构可以在命题内容近似不变时改变语用力度，但该对比不代表作者历史初译。</w:t>
      </w:r>
    </w:p>
    <w:p>
      <w:pPr>
        <w:jc w:val="both"/>
      </w:pPr>
      <w:r>
        <w:rPr>
          <w:rFonts w:ascii="Calibri" w:hAnsi="Calibri" w:eastAsia="宋体"/>
          <w:b w:val="0"/>
          <w:i w:val="0"/>
          <w:color w:val="000000"/>
          <w:sz w:val="22"/>
        </w:rPr>
        <w:t>真实源文、模拟初译与优化译文如下：</w:t>
      </w:r>
    </w:p>
    <w:p>
      <w:pPr>
        <w:spacing w:before="80" w:after="80" w:line="290" w:lineRule="auto"/>
        <w:ind w:left="403" w:right="259"/>
      </w:pPr>
      <w:r>
        <w:rPr>
          <w:rFonts w:ascii="Calibri" w:hAnsi="Calibri" w:eastAsia="宋体"/>
          <w:b/>
          <w:i w:val="0"/>
          <w:color w:val="1F4D78"/>
          <w:sz w:val="21"/>
        </w:rPr>
        <w:t>真实源文（SC-0141）：</w:t>
      </w:r>
      <w:r>
        <w:rPr>
          <w:rFonts w:ascii="Calibri" w:hAnsi="Calibri" w:eastAsia="宋体"/>
          <w:b w:val="0"/>
          <w:i w:val="0"/>
          <w:color w:val="333333"/>
          <w:sz w:val="21"/>
        </w:rPr>
        <w:t>After Israel’s tenth anniversary celebrations, in the spring of 1958, he told me how he once said to Berl Katznelson, a founder of Labor Zionism: “What do you need that Ben-Gurion for?”</w:t>
      </w:r>
    </w:p>
    <w:p>
      <w:pPr>
        <w:spacing w:before="80" w:after="80" w:line="290" w:lineRule="auto"/>
        <w:ind w:left="403" w:right="259"/>
      </w:pPr>
      <w:r>
        <w:rPr>
          <w:rFonts w:ascii="Calibri" w:hAnsi="Calibri" w:eastAsia="宋体"/>
          <w:b/>
          <w:i w:val="0"/>
          <w:color w:val="1F4D78"/>
          <w:sz w:val="21"/>
        </w:rPr>
        <w:t>模拟初译（SC-0141）：</w:t>
      </w:r>
      <w:r>
        <w:rPr>
          <w:rFonts w:ascii="Calibri" w:hAnsi="Calibri" w:eastAsia="宋体"/>
          <w:b w:val="0"/>
          <w:i w:val="0"/>
          <w:color w:val="333333"/>
          <w:sz w:val="21"/>
        </w:rPr>
        <w:t>在1958年春天以色列建国十周年庆典之后，他告诉我有一次他对劳工锡安主义的创始人贝尔·卡茨内尔森说：“你为什么需要那个本-古里安？”</w:t>
      </w:r>
    </w:p>
    <w:p>
      <w:pPr>
        <w:spacing w:before="80" w:after="80" w:line="290" w:lineRule="auto"/>
        <w:ind w:left="403" w:right="259"/>
      </w:pPr>
      <w:r>
        <w:rPr>
          <w:rFonts w:ascii="Calibri" w:hAnsi="Calibri" w:eastAsia="宋体"/>
          <w:b/>
          <w:i w:val="0"/>
          <w:color w:val="1F4D78"/>
          <w:sz w:val="21"/>
        </w:rPr>
        <w:t>优化译文（SC-0141）：</w:t>
      </w:r>
      <w:r>
        <w:rPr>
          <w:rFonts w:ascii="Calibri" w:hAnsi="Calibri" w:eastAsia="宋体"/>
          <w:b w:val="0"/>
          <w:i w:val="0"/>
          <w:color w:val="333333"/>
          <w:sz w:val="21"/>
        </w:rPr>
        <w:t>在1958年春天以色列建国十周年庆典之后，他告诉我有一次他对劳工锡安主义的创始人贝尔·卡茨内尔森说：“你要那个本-古里安干什么？”</w:t>
      </w:r>
    </w:p>
    <w:p>
      <w:pPr>
        <w:jc w:val="both"/>
      </w:pPr>
      <w:r>
        <w:rPr>
          <w:rFonts w:ascii="Calibri" w:hAnsi="Calibri" w:eastAsia="宋体"/>
          <w:b w:val="0"/>
          <w:i w:val="0"/>
          <w:color w:val="000000"/>
          <w:sz w:val="22"/>
        </w:rPr>
        <w:t>翻译难点。 源文 "What do you need that Ben-Gurion for?" 是口语化、带有轻蔑色彩的反问句，暗示本-古里安多余或碍事。该反问句传达了对本-古里安的贬抑态度，语用上具有对抗性和口语性。译者可能将其译为真诚的信息寻求疑问句，或弱化其轻蔑色彩，从而丢失政治张力。</w:t>
      </w:r>
    </w:p>
    <w:p>
      <w:pPr>
        <w:jc w:val="both"/>
      </w:pPr>
      <w:r>
        <w:rPr>
          <w:rFonts w:ascii="Calibri" w:hAnsi="Calibri" w:eastAsia="宋体"/>
          <w:b w:val="0"/>
          <w:i w:val="0"/>
          <w:color w:val="000000"/>
          <w:sz w:val="22"/>
        </w:rPr>
        <w:t>合理模拟错误。 模拟初译"你为什么需要那个本-古里安？"将反问句译为中性疑问句。该译法语法正确且看似忠实："你为什么需要"对应 "Why do you need"，"那个"对应 "that"，表层句法对应关系清晰。指示词"那个"确实携带微弱的贬抑色彩，但"你为什么需要"的正式书面语体压过了这一微弱色彩，整体读作信息寻求而非轻蔑质问。</w:t>
      </w:r>
    </w:p>
    <w:p>
      <w:pPr>
        <w:jc w:val="both"/>
      </w:pPr>
      <w:r>
        <w:rPr>
          <w:rFonts w:ascii="Calibri" w:hAnsi="Calibri" w:eastAsia="宋体"/>
          <w:b w:val="0"/>
          <w:i w:val="0"/>
          <w:color w:val="000000"/>
          <w:sz w:val="22"/>
        </w:rPr>
        <w:t>错误诱因与诊断。 该模拟初译的诱因在于句法忠实性掩盖了语用力度的流失。"What do you need X for?" → "你为什么需要X" 在句法层面成立，"那个"甚至呼应了英文 "that Ben-Gurion"，使其在表面上看起来正确，容易被视为 adequate 而不进一步检查语用语域。诊断结论为：模拟初译语法正确但语用力度被中性化，"你为什么需要……"读作中性信息寻求疑问句，抽去了原文轻蔑、对抗的语用力度。</w:t>
      </w:r>
    </w:p>
    <w:p>
      <w:pPr>
        <w:jc w:val="both"/>
      </w:pPr>
      <w:r>
        <w:rPr>
          <w:rFonts w:ascii="Calibri" w:hAnsi="Calibri" w:eastAsia="宋体"/>
          <w:b w:val="0"/>
          <w:i w:val="0"/>
          <w:color w:val="000000"/>
          <w:sz w:val="22"/>
        </w:rPr>
        <w:t>意义/功能失真。 原文功能为带有政治色彩的轻蔑评语，传达说话者对本-古里安的负面评价。将其译为中性疑问句后，模拟初译弱化了人际和政治张力，使说话者听起来像是真诚好奇而非轻蔑质问，从而改变了说话者的人物刻画和轶事的情感质感。</w:t>
      </w:r>
    </w:p>
    <w:p>
      <w:pPr>
        <w:jc w:val="both"/>
      </w:pPr>
      <w:r>
        <w:rPr>
          <w:rFonts w:ascii="Calibri" w:hAnsi="Calibri" w:eastAsia="宋体"/>
          <w:b w:val="0"/>
          <w:i w:val="0"/>
          <w:color w:val="000000"/>
          <w:sz w:val="22"/>
        </w:rPr>
        <w:t>AI 优化。 优化译文将中性疑问句"你为什么需要那个本-古里安？"改为口语化反问句"你要那个本-古里安干什么？"。具体变化为：删除"为什么需"，插入"干什么"，形成"要……干什么"这一口语反问结构。</w:t>
      </w:r>
    </w:p>
    <w:p>
      <w:pPr>
        <w:jc w:val="both"/>
      </w:pPr>
      <w:r>
        <w:rPr>
          <w:rFonts w:ascii="Calibri" w:hAnsi="Calibri" w:eastAsia="宋体"/>
          <w:b w:val="0"/>
          <w:i w:val="0"/>
          <w:color w:val="000000"/>
          <w:sz w:val="22"/>
        </w:rPr>
        <w:t>修复机制与有效性。 优化版使用口语反问结构"要……干什么"，在不改变命题内容的前提下恢复了轻蔑、质问的语用力度。该修复经过独立验证：诊断依据已确认（diagnosis_grounding: confirmed），错误实质性已确认（error_materiality: confirmed），修复正确性已确认（repair_correctness: confirmed），修复价值已确认（repair_value: confirmed）。模拟初译并非已经正确（baseline_already_correct: false），优化未引入无关意义变化（unrelated_meaning_change: false）。</w:t>
      </w:r>
    </w:p>
    <w:p>
      <w:pPr>
        <w:jc w:val="both"/>
      </w:pPr>
      <w:r>
        <w:rPr>
          <w:rFonts w:ascii="Calibri" w:hAnsi="Calibri" w:eastAsia="宋体"/>
          <w:b w:val="0"/>
          <w:i w:val="0"/>
          <w:color w:val="000000"/>
          <w:sz w:val="22"/>
        </w:rPr>
        <w:t>备选方案。 存在一种分析性对照（counterfactual_rendering）："那个本-古里安有什么用？"——以"有什么用"结构表达轻蔑反问，与优化版"你要……干什么？"形成分析性对照。该备选同样为反事实推演。</w:t>
      </w:r>
    </w:p>
    <w:p>
      <w:pPr>
        <w:jc w:val="both"/>
      </w:pPr>
      <w:r>
        <w:rPr>
          <w:rFonts w:ascii="Calibri" w:hAnsi="Calibri" w:eastAsia="宋体"/>
          <w:b w:val="0"/>
          <w:i w:val="0"/>
          <w:color w:val="000000"/>
          <w:sz w:val="22"/>
        </w:rPr>
        <w:t>翻译效果。 在语用力度（pragmatic_force）维度上，模拟初译"你为什么需要那个本-古里安？"使用正式书面疑问结构"为什么需要"，读作中性信息寻求；优化版"你要那个本-古里安干什么？"使用口语反问结构"要……干什么"，传达轻蔑与质问语气，恢复了原文 "What do you need that X for?" 的对抗性语用力。</w:t>
      </w:r>
    </w:p>
    <w:p>
      <w:pPr>
        <w:jc w:val="both"/>
      </w:pPr>
      <w:r>
        <w:rPr>
          <w:rFonts w:ascii="Calibri" w:hAnsi="Calibri" w:eastAsia="宋体"/>
          <w:b w:val="0"/>
          <w:i w:val="0"/>
          <w:color w:val="000000"/>
          <w:sz w:val="22"/>
        </w:rPr>
        <w:t>证据边界与有界结论。 本案例仅展示一种合理的翻译失败模式：将英语口语反问句译为中性疑问句可导致语用力度被中性化，而口语反问结构可恢复该力度。该合成对比不代表作者历史初译，不证明此类错误在实际翻译中的频率。本项目证据不足以支持以下人工证据所涉的推断：译者关于该反问句语用处理的决策说明；目标读者对"你为什么需要"与"你要……干什么"语用力度差异的感知测试数据。</w:t>
      </w:r>
    </w:p>
    <w:p>
      <w:pPr>
        <w:pStyle w:val="Heading2"/>
      </w:pPr>
      <w:r>
        <w:t>3.4 跨案例综合与局限</w:t>
      </w:r>
    </w:p>
    <w:p>
      <w:pPr>
        <w:jc w:val="both"/>
      </w:pPr>
      <w:r>
        <w:rPr>
          <w:rFonts w:ascii="Calibri" w:hAnsi="Calibri" w:eastAsia="宋体"/>
          <w:b w:val="0"/>
          <w:i w:val="0"/>
          <w:color w:val="000000"/>
          <w:sz w:val="22"/>
        </w:rPr>
        <w:t>三项材料形成从段落对应、话语指称到语用力度的递进，但历史证据与合成证据支持的结论强度必须分开。</w:t>
      </w:r>
    </w:p>
    <w:p>
      <w:pPr>
        <w:jc w:val="both"/>
      </w:pPr>
      <w:r>
        <w:rPr>
          <w:rFonts w:ascii="Calibri" w:hAnsi="Calibri" w:eastAsia="宋体"/>
          <w:b w:val="0"/>
          <w:i w:val="0"/>
          <w:color w:val="000000"/>
          <w:sz w:val="22"/>
        </w:rPr>
        <w:t>在源译对应关系层面，段 209 的真实修订证明了一次可观察的对应关系修复：初译文本与源文无任何对应，终译恢复了源译一致。但该案例不证明题名保留策略或最终翻译质量，保留英文题名的原因未记录。</w:t>
      </w:r>
    </w:p>
    <w:p>
      <w:pPr>
        <w:jc w:val="both"/>
      </w:pPr>
      <w:r>
        <w:rPr>
          <w:rFonts w:ascii="Calibri" w:hAnsi="Calibri" w:eastAsia="宋体"/>
          <w:b w:val="0"/>
          <w:i w:val="0"/>
          <w:color w:val="000000"/>
          <w:sz w:val="22"/>
        </w:rPr>
        <w:t>在话语指称层面，段 272 的真实修订证明了一次可观察的词语替换及其指称效果：将"五个字"改为"句话"消解了源语词数回指在汉语中的计数不一致问题。但该案例不声称历史动机，修订者的决策过程未知。</w:t>
      </w:r>
    </w:p>
    <w:p>
      <w:pPr>
        <w:jc w:val="both"/>
      </w:pPr>
      <w:r>
        <w:rPr>
          <w:rFonts w:ascii="Calibri" w:hAnsi="Calibri" w:eastAsia="宋体"/>
          <w:b w:val="0"/>
          <w:i w:val="0"/>
          <w:color w:val="000000"/>
          <w:sz w:val="22"/>
        </w:rPr>
        <w:t>在语用力度层面，SC-0141 的合成对比展示了一种合理失败模式：将英语口语反问句译为中性疑问句可导致语用力度被中性化，而口语反问结构可恢复该力度。但该案例不证明人类错误频率，模拟初译不代表作者历史译文。</w:t>
      </w:r>
    </w:p>
    <w:p>
      <w:pPr>
        <w:jc w:val="both"/>
      </w:pPr>
      <w:r>
        <w:rPr>
          <w:rFonts w:ascii="Calibri" w:hAnsi="Calibri" w:eastAsia="宋体"/>
          <w:b w:val="0"/>
          <w:i w:val="0"/>
          <w:color w:val="000000"/>
          <w:sz w:val="22"/>
        </w:rPr>
        <w:t>两类证据的结论强度存在根本差异：真实案例支持实际修订事实，合成案例只支持一种经验证的可能失败机制。若将两类证据并列为同等案例，章节会产生方法突变感，因此本章在行文中始终区分"真实修订案例"与"合成对比案例"，并在合成案例的表述中避免使用任何历史过程措辞。</w:t>
      </w:r>
    </w:p>
    <w:p>
      <w:pPr>
        <w:jc w:val="both"/>
      </w:pPr>
      <w:r>
        <w:rPr>
          <w:rFonts w:ascii="Calibri" w:hAnsi="Calibri" w:eastAsia="宋体"/>
          <w:b w:val="0"/>
          <w:i w:val="0"/>
          <w:color w:val="000000"/>
          <w:sz w:val="22"/>
        </w:rPr>
        <w:t>本章未引用任何文献证据，因此不提及具体理论名称。段 209 与段 272 的理论映射状态均为 not_applicable，SC-0141 的理论连接状态同样为 not_applicable。若后续获得相关文献证据，可在此基础上连接具体理论框架，但在当前证据条件下，任何理论命题的引入都将缺乏文献支撑。</w:t>
      </w:r>
    </w:p>
    <w:p>
      <w:pPr>
        <w:jc w:val="both"/>
      </w:pPr>
      <w:r>
        <w:rPr>
          <w:rFonts w:ascii="Calibri" w:hAnsi="Calibri" w:eastAsia="宋体"/>
          <w:b w:val="0"/>
          <w:i w:val="0"/>
          <w:color w:val="000000"/>
          <w:sz w:val="22"/>
        </w:rPr>
        <w:t>综上，本章在证据约束下完成了两项真实修订案例的文本差异分析与一项合成对比案例的受控检验，三项材料分别对应源译对应关系、话语指称和语用力度三个递进维度，各自的有界结论仅限于本案例，不外推为一般规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b w:val="0"/>
        <w:i w:val="0"/>
        <w:color w:val="666666"/>
        <w:sz w:val="18"/>
      </w:rPr>
      <w:t xml:space="preserve">第 </w:t>
      <w:fldChar w:fldCharType="begin"/>
      <w:instrText xml:space="preserve"> PAGE </w:instrText>
      <w:fldChar w:fldCharType="end"/>
    </w:r>
    <w:r>
      <w:rPr>
        <w:rFonts w:ascii="Calibri" w:hAnsi="Calibri" w:eastAsia="宋体"/>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宋体"/>
        <w:b w:val="0"/>
        <w:i w:val="0"/>
        <w:color w:val="666666"/>
        <w:sz w:val="18"/>
      </w:rPr>
      <w:t>MTI Translation Practice Report | Chapter 3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翻译问题的层级化修订与受控对比</dc:title>
  <dc:subject>MTI Chapter 3 composition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