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pStyle w:val="Heading1"/>
      </w:pPr>
      <w:r>
        <w:t>3 翻译问题的层级化修订与受控对比</w:t>
      </w:r>
    </w:p>
    <w:p>
      <w:pPr>
        <w:pStyle w:val="Heading1"/>
      </w:pPr>
      <w:r>
        <w:t>3 翻译问题的层级化修订与受控对比</w:t>
      </w:r>
    </w:p>
    <w:p>
      <w:pPr>
        <w:pStyle w:val="Heading2"/>
      </w:pPr>
      <w:r>
        <w:t>3.1 证据边界与分析路径</w:t>
      </w:r>
    </w:p>
    <w:p>
      <w:pPr>
        <w:jc w:val="both"/>
      </w:pPr>
      <w:r>
        <w:rPr>
          <w:rFonts w:ascii="Calibri" w:hAnsi="Calibri" w:eastAsia="宋体"/>
          <w:b w:val="0"/>
          <w:i w:val="0"/>
          <w:color w:val="000000"/>
          <w:sz w:val="22"/>
        </w:rPr>
        <w:t>本章以源译对应关系、话语指称与语用力度为递进主线，对翻译实践中的修订问题进行层级化分析。 旨在考察两项真实初译至终译记录分别揭示了哪些可观察的修订问题与文本变化； 则在不补造第三项历史修订的前提下，检验受控合成对比能否补充一种独特且边界清楚的翻译问题分析。</w:t>
      </w:r>
    </w:p>
    <w:p>
      <w:pPr>
        <w:jc w:val="both"/>
      </w:pPr>
      <w:r>
        <w:rPr>
          <w:rFonts w:ascii="Calibri" w:hAnsi="Calibri" w:eastAsia="宋体"/>
          <w:b w:val="0"/>
          <w:i w:val="0"/>
          <w:color w:val="000000"/>
          <w:sz w:val="22"/>
        </w:rPr>
        <w:t>在案例选择上，本章遵循证据约束原则。 现有项目证据仅支持 2 个通过修订资格门禁的真实修订案例；未用弱证据或无真实修订的片段补足第三个案例。为补充机制层面的语用力度分析，本章引入一项受控合成对比案例。 合成对比案例以真实源文为基础，模拟初译与优化译文均为分析阶段生成，不代表作者的历史翻译；其合理性、错误实质性与修复有效性分别经过检查。同时， 合成案例只能展示合理的翻译失败模式，不能证明此类错误在人类译者中的实际发生频率。</w:t>
      </w:r>
    </w:p>
    <w:p>
      <w:pPr>
        <w:jc w:val="both"/>
      </w:pPr>
      <w:r>
        <w:rPr>
          <w:rFonts w:ascii="Calibri" w:hAnsi="Calibri" w:eastAsia="宋体"/>
          <w:b w:val="0"/>
          <w:i w:val="0"/>
          <w:color w:val="000000"/>
          <w:sz w:val="22"/>
        </w:rPr>
        <w:t>基于上述证据边界，本章将首先分析两项真实修订案例所呈现的对应关系修复与话语指称调整，随后通过合成对比案例探讨语用力度在翻译中的失真与修复机制，最后在跨案例层面明确历史证据与合成证据的结论强度差异。</w:t>
      </w:r>
    </w:p>
    <w:p>
      <w:pPr>
        <w:pStyle w:val="Heading2"/>
      </w:pPr>
      <w:r>
        <w:t>3.2 真实修订案例：对应关系与话语指称</w:t>
      </w:r>
    </w:p>
    <w:p>
      <w:pPr>
        <w:pStyle w:val="Heading3"/>
      </w:pPr>
      <w:r>
        <w:t>3.2.1 源译对应关系的修复</w:t>
      </w:r>
    </w:p>
    <w:p>
      <w:pPr>
        <w:jc w:val="both"/>
      </w:pPr>
      <w:r>
        <w:rPr>
          <w:rFonts w:ascii="Calibri" w:hAnsi="Calibri" w:eastAsia="宋体"/>
          <w:b w:val="0"/>
          <w:i w:val="0"/>
          <w:color w:val="000000"/>
          <w:sz w:val="22"/>
        </w:rPr>
        <w:t>案例 seg-ec100d8686d3891e-0209 呈现了一项源译对应关系的直接修复。该段的翻译问题在于：历史初译文本与本段源文在语言和内容上都无对应关系。</w:t>
      </w:r>
    </w:p>
    <w:p>
      <w:pPr>
        <w:spacing w:before="80" w:after="80" w:line="290" w:lineRule="auto"/>
        <w:ind w:left="403" w:right="259"/>
      </w:pPr>
      <w:r>
        <w:rPr>
          <w:rFonts w:ascii="Calibri" w:hAnsi="Calibri" w:eastAsia="宋体"/>
          <w:b/>
          <w:i w:val="0"/>
          <w:color w:val="1F4D78"/>
          <w:sz w:val="21"/>
        </w:rPr>
        <w:t>源文（0209）：</w:t>
      </w:r>
      <w:r>
        <w:rPr>
          <w:rFonts w:ascii="Calibri" w:hAnsi="Calibri" w:eastAsia="宋体"/>
          <w:b w:val="0"/>
          <w:i w:val="0"/>
          <w:color w:val="333333"/>
          <w:sz w:val="21"/>
        </w:rPr>
        <w:t>RIOT IN CELL BLOCK 11</w:t>
        <w:br/>
        <w:t>&gt; [INITIAL seg-ec100d8686d3891e-0209]: 那是夏天，或是夏末。那是午后。</w:t>
        <w:br/>
        <w:t>&gt; [TARGET seg-ec100d8686d3891e-0209]: RIOT IN CELL BLOCK 11</w:t>
      </w:r>
    </w:p>
    <w:p>
      <w:pPr>
        <w:jc w:val="both"/>
      </w:pPr>
      <w:r>
        <w:rPr>
          <w:rFonts w:ascii="Calibri" w:hAnsi="Calibri" w:eastAsia="宋体"/>
          <w:b w:val="0"/>
          <w:i w:val="0"/>
          <w:color w:val="000000"/>
          <w:sz w:val="22"/>
        </w:rPr>
        <w:t>从文本差异来看，历史初译"那是夏天，或是夏末。那是午后。"与源文题名"RIOT IN CELL BLOCK 11"在语义和语种上均无对应。实际修订动作是将无对应关系的中文片段整体替换为源文题名文本。在此过程中，存在一种反事实备选方案：若将题名译为中文如"第十一号牢房的暴动"，可保持源译对应同时提供中文可读性，但现有记录未显示此方案曾被考虑。</w:t>
      </w:r>
    </w:p>
    <w:p>
      <w:pPr>
        <w:jc w:val="both"/>
      </w:pPr>
      <w:r>
        <w:rPr>
          <w:rFonts w:ascii="Calibri" w:hAnsi="Calibri" w:eastAsia="宋体"/>
          <w:b w:val="0"/>
          <w:i w:val="0"/>
          <w:color w:val="000000"/>
          <w:sz w:val="22"/>
        </w:rPr>
        <w:t>可观察到的最终决策与理由是：将无对应关系的中文片段整体替换为源文题名，客观上恢复了当前段的源译对应；但保留英文题名的原因未记录。从翻译效果来看，该修订在"指称清晰度"维度上产生了可观察的变化："那是夏天，或是夏末。那是午后。"与题名源文无对应，终译"RIOT IN CELL BLOCK 11"与本段源文一致。</w:t>
      </w:r>
    </w:p>
    <w:p>
      <w:pPr>
        <w:jc w:val="both"/>
      </w:pPr>
      <w:r>
        <w:rPr>
          <w:rFonts w:ascii="Calibri" w:hAnsi="Calibri" w:eastAsia="宋体"/>
          <w:b w:val="0"/>
          <w:i w:val="0"/>
          <w:color w:val="000000"/>
          <w:sz w:val="22"/>
        </w:rPr>
        <w:t>0209 的可证实修订是把与源文无对应关系的中文片段替换为题名文本，从而恢复源译段对应关系；现有记录不能证明保留英文题名是有意的最终翻译策略。该修订恢复了本段的源译对应，但现有证据既不说明初译错配的生成机制，也不证明保留英文题名是有意翻译策略。本项目证据不足以支持对初译错配生成机制及保留英文题名动机的推断。为完善分析，需要以下人工证据：保留英文题名而不译出的原因；初译为何出现与本段无对应关系文本的工作流记录。</w:t>
      </w:r>
    </w:p>
    <w:p>
      <w:pPr>
        <w:pStyle w:val="Heading3"/>
      </w:pPr>
      <w:r>
        <w:t>3.2.2 话语指称的调整</w:t>
      </w:r>
    </w:p>
    <w:p>
      <w:pPr>
        <w:jc w:val="both"/>
      </w:pPr>
      <w:r>
        <w:rPr>
          <w:rFonts w:ascii="Calibri" w:hAnsi="Calibri" w:eastAsia="宋体"/>
          <w:b w:val="0"/>
          <w:i w:val="0"/>
          <w:color w:val="000000"/>
          <w:sz w:val="22"/>
        </w:rPr>
        <w:t>案例 seg-ec100d8686d3891e-0272 涉及话语指称在目标语表层的一致性调整。该段的翻译问题在于：源文后句显式写有 "Those five words" 回指前文引语，但不得据此声称可见英文引语恰好为五个英文词；在汉译中，"你不会经历战争"为七个汉字，初译"这五个字"因此在目标语表层产生可直接核对的不一致。</w:t>
      </w:r>
    </w:p>
    <w:p>
      <w:pPr>
        <w:spacing w:before="80" w:after="80" w:line="290" w:lineRule="auto"/>
        <w:ind w:left="403" w:right="259"/>
      </w:pPr>
      <w:r>
        <w:rPr>
          <w:rFonts w:ascii="Calibri" w:hAnsi="Calibri" w:eastAsia="宋体"/>
          <w:b/>
          <w:i w:val="0"/>
          <w:color w:val="1F4D78"/>
          <w:sz w:val="21"/>
        </w:rPr>
        <w:t>源文（0272）：</w:t>
      </w:r>
      <w:r>
        <w:rPr>
          <w:rFonts w:ascii="Calibri" w:hAnsi="Calibri" w:eastAsia="宋体"/>
          <w:b w:val="0"/>
          <w:i w:val="0"/>
          <w:color w:val="333333"/>
          <w:sz w:val="21"/>
        </w:rPr>
        <w:t>“You will not have a war,” Matti suddenly said. Those five words have echoed within me for fifty years.</w:t>
        <w:br/>
        <w:t>&gt; [INITIAL seg-ec100d8686d3891e-0272]: “你不会经历战争，”马蒂突然说道。这五个字在我心中回响了五十年。</w:t>
        <w:br/>
        <w:t>&gt; [TARGET seg-ec100d8686d3891e-0272]: “你不会经历战争，”马蒂突然说道。这句话在我心中回响了五十年。</w:t>
      </w:r>
    </w:p>
    <w:p>
      <w:pPr>
        <w:jc w:val="both"/>
      </w:pPr>
      <w:r>
        <w:rPr>
          <w:rFonts w:ascii="Calibri" w:hAnsi="Calibri" w:eastAsia="宋体"/>
          <w:b w:val="0"/>
          <w:i w:val="0"/>
          <w:color w:val="000000"/>
          <w:sz w:val="22"/>
        </w:rPr>
        <w:t>从文本差异来看，实际修订仅涉及"五个字"至"句话"的词语替换。在此过程中，存在两种反事实备选方案：其一，若改为"这几个字"，可保留模糊指称而不引入"句"的概念，但终译选择了"这句话"；其二，若将引语调整为更短的中文表述以使"五个字"在目标语表层成立，则"五个字"可保留，但现有记录未显示此方案曾被考虑。</w:t>
      </w:r>
    </w:p>
    <w:p>
      <w:pPr>
        <w:jc w:val="both"/>
      </w:pPr>
      <w:r>
        <w:rPr>
          <w:rFonts w:ascii="Calibri" w:hAnsi="Calibri" w:eastAsia="宋体"/>
          <w:b w:val="0"/>
          <w:i w:val="0"/>
          <w:color w:val="000000"/>
          <w:sz w:val="22"/>
        </w:rPr>
        <w:t>可观察到的最终决策与理由是："五个字"至"这句话"的替换，客观上消除了"五个字"与七字中文引语的表层不一致，使回指对象变为整句言语；历史动机未记录。从翻译效果来看，该修订在"指称清晰度"维度上产生了可观察的变化：将"五个字"替换为"句话"，使回指不再依赖与七字中文引语不符的目标语计数，而改为指向整句言语。</w:t>
      </w:r>
    </w:p>
    <w:p>
      <w:pPr>
        <w:jc w:val="both"/>
      </w:pPr>
      <w:r>
        <w:rPr>
          <w:rFonts w:ascii="Calibri" w:hAnsi="Calibri" w:eastAsia="宋体"/>
          <w:b w:val="0"/>
          <w:i w:val="0"/>
          <w:color w:val="000000"/>
          <w:sz w:val="22"/>
        </w:rPr>
        <w:t>0272 将"五个字"改为"这句话"，把源文显式的数字回指转换为对整句言语的指称，避免"五个字"与七字中文引语在目标语表层不一致。本案例只证明"五个字"至"这句话"的实际替换及其消除目标语表层计数不一致的效果；不解释源文为何使用 five，也不推断修订者动机。本项目证据不足以支持对修订者历史动机的推断。为完善分析，需要以下人工证据：译者或编辑关于为何选择"这句话"而非使用"这几个字"的说明；项目同期关于数字回指处理的讨论或校对记录。</w:t>
      </w:r>
    </w:p>
    <w:p>
      <w:pPr>
        <w:pStyle w:val="Heading2"/>
      </w:pPr>
      <w:r>
        <w:t>3.3 合成对比案例：语用力度的补充性受控检验</w:t>
      </w:r>
    </w:p>
    <w:p>
      <w:pPr>
        <w:jc w:val="both"/>
      </w:pPr>
      <w:r>
        <w:rPr>
          <w:rFonts w:ascii="Calibri" w:hAnsi="Calibri" w:eastAsia="宋体"/>
          <w:b w:val="0"/>
          <w:i w:val="0"/>
          <w:color w:val="000000"/>
          <w:sz w:val="22"/>
        </w:rPr>
        <w:t>为考察可能偏差，构造如下模拟初译。案例 SC-0141 的翻译难点在于：源文"What do you need that Ben-Gurion for?"是口语化、带有轻蔑色彩的反问句，暗示本-古里安多余或碍事。</w:t>
      </w:r>
    </w:p>
    <w:p>
      <w:pPr>
        <w:spacing w:before="80" w:after="80" w:line="290" w:lineRule="auto"/>
        <w:ind w:left="403" w:right="259"/>
      </w:pPr>
      <w:r>
        <w:rPr>
          <w:rFonts w:ascii="Calibri" w:hAnsi="Calibri" w:eastAsia="宋体"/>
          <w:b/>
          <w:i w:val="0"/>
          <w:color w:val="1F4D78"/>
          <w:sz w:val="21"/>
        </w:rPr>
        <w:t>真实源文（SC-0141）：</w:t>
      </w:r>
      <w:r>
        <w:rPr>
          <w:rFonts w:ascii="Calibri" w:hAnsi="Calibri" w:eastAsia="宋体"/>
          <w:b w:val="0"/>
          <w:i w:val="0"/>
          <w:color w:val="333333"/>
          <w:sz w:val="21"/>
        </w:rPr>
        <w:t>After Israel’s tenth anniversary celebrations, in the spring of 1958, he told me how he once said to Berl Katznelson, a founder of Labor Zionism: “What do you need that Ben-Gurion for?”</w:t>
        <w:br/>
        <w:t>&gt; [SIMULATED SC-0141]: 在1958年春天以色列建国十周年庆典之后，他告诉我有一次他对劳工锡安主义的创始人贝尔·卡茨内尔森说：“你为什么需要那个本-古里安？”</w:t>
        <w:br/>
        <w:t>&gt; [OPTIMIZED SC-0141]: 在1958年春天以色列建国十周年庆典之后，他告诉我有一次他对劳工锡安主义的创始人贝尔·卡茨内尔森说：“你要那个本-古里安干什么？”</w:t>
      </w:r>
    </w:p>
    <w:p>
      <w:pPr>
        <w:jc w:val="both"/>
      </w:pPr>
      <w:r>
        <w:rPr>
          <w:rFonts w:ascii="Calibri" w:hAnsi="Calibri" w:eastAsia="宋体"/>
          <w:b w:val="0"/>
          <w:i w:val="0"/>
          <w:color w:val="000000"/>
          <w:sz w:val="22"/>
        </w:rPr>
        <w:t>模拟初译将其译为中性疑问句"你为什么需要那个本-古里安？"，语法正确但语用力度被削弱。错误诱因与诊断在于：该模拟初译在句法上忠实于"What do you need X for?"，且"那个"甚至呼应了英文的"that Ben-Gurion"，表面看似正确，容易被视为充分而不去检验语用语域。然而，这种处理使意义与功能发生失真：原句作为带有政治色彩的轻蔑质问，传达了说话者对本-古里安的负面评价；将其译为中性疑问句，软化了人际与政治张力，使说话者听起来像真诚发问而非轻蔑质问，从而改变了人物刻画与轶事的情感质感。</w:t>
      </w:r>
    </w:p>
    <w:p>
      <w:pPr>
        <w:jc w:val="both"/>
      </w:pPr>
      <w:r>
        <w:rPr>
          <w:rFonts w:ascii="Calibri" w:hAnsi="Calibri" w:eastAsia="宋体"/>
          <w:b w:val="0"/>
          <w:i w:val="0"/>
          <w:color w:val="000000"/>
          <w:sz w:val="22"/>
        </w:rPr>
        <w:t>优化译文将其修改为"你要那个本-古里安干什么？"。修复机制与有效性在于：使用口语反问结构"要……干什么"，恢复了原文轻蔑、质问的语用力度，且未改变命题内容。在此过程中，存在两种反事实备选方案：其一，"那个本-古里安有什么用？"——以"有什么用"结构表达质疑，保留轻蔑语气但语域略高于"干什么"；其二，"留着那个本-古里安干嘛？"——更口语化，但偏离源文"need"的语义核心。</w:t>
      </w:r>
    </w:p>
    <w:p>
      <w:pPr>
        <w:jc w:val="both"/>
      </w:pPr>
      <w:r>
        <w:rPr>
          <w:rFonts w:ascii="Calibri" w:hAnsi="Calibri" w:eastAsia="宋体"/>
          <w:b w:val="0"/>
          <w:i w:val="0"/>
          <w:color w:val="000000"/>
          <w:sz w:val="22"/>
        </w:rPr>
        <w:t>受控对比中的最终决策与理由是：模拟初译"你为什么需要那个本-古里安？"语法正确但语用力度被削弱；优化译文"你要那个本-古里安干什么？"使用口语反问结构"要……干什么"，恢复了原文轻蔑、质问的语用力度，且未改变命题内容。该对比为分析生成，不代表作者历史初译。从翻译效果来看，优化译文在"语用力度"维度上产生了可观察的变化：优化译文"你要那个本-古里安干什么？"使用口语反问结构"要……干什么"，与模拟初译"你为什么需要那个本-古里安？"的中性疑问结构形成对比，恢复了原文轻蔑、对抗的语用力度。</w:t>
      </w:r>
    </w:p>
    <w:p>
      <w:pPr>
        <w:jc w:val="both"/>
      </w:pPr>
      <w:r>
        <w:rPr>
          <w:rFonts w:ascii="Calibri" w:hAnsi="Calibri" w:eastAsia="宋体"/>
          <w:b w:val="0"/>
          <w:i w:val="0"/>
          <w:color w:val="000000"/>
          <w:sz w:val="22"/>
        </w:rPr>
        <w:t>SC-0141 的受控对比显示，中性疑问结构与口语反问结构可以在命题内容近似不变时改变语用力度，但该对比不代表作者历史初译。本案例为合成对比，仅展示一种合理失败模式：将口语化反问句译为中性疑问句会削弱语用力度。该对比不代表作者历史初译，也不证明此类错误在实际翻译中的频率。结论限于：在命题内容近似不变时，中性疑问结构与口语反问结构可改变语用力度。为完善分析，需要以下人工证据：译者关于该反问句语域判断的说明；项目同期关于政治人物引语口语化处理的讨论。</w:t>
      </w:r>
    </w:p>
    <w:p>
      <w:pPr>
        <w:pStyle w:val="Heading2"/>
      </w:pPr>
      <w:r>
        <w:t>3.4 跨案例综合与局限</w:t>
      </w:r>
    </w:p>
    <w:p>
      <w:pPr>
        <w:jc w:val="both"/>
      </w:pPr>
      <w:r>
        <w:rPr>
          <w:rFonts w:ascii="Calibri" w:hAnsi="Calibri" w:eastAsia="宋体"/>
          <w:b w:val="0"/>
          <w:i w:val="0"/>
          <w:color w:val="000000"/>
          <w:sz w:val="22"/>
        </w:rPr>
        <w:t>综合上述三项材料，本章在源译对应、话语指称与语用力度三个维度上形成了递进分析。 三项材料形成从段落对应、话语指称到语用力度的递进，但历史证据与合成证据支持的结论强度必须分开。真实案例支持实际修订事实，合成案例只支持一种经验证的可能失败机制。若两类证据并列为同等案例，章节会产生方法突变感。</w:t>
      </w:r>
    </w:p>
    <w:p>
      <w:pPr>
        <w:jc w:val="both"/>
      </w:pPr>
      <w:r>
        <w:rPr>
          <w:rFonts w:ascii="Calibri" w:hAnsi="Calibri" w:eastAsia="宋体"/>
          <w:b w:val="0"/>
          <w:i w:val="0"/>
          <w:color w:val="000000"/>
          <w:sz w:val="22"/>
        </w:rPr>
        <w:t>具体而言，seg-ec100d8686d3891e-0209 仅证明对应关系修复，不证明题名保留策略或最终翻译质量；seg-ec100d8686d3891e-0272 仅证明实际词语替换及其可观察的指称效果，不声称历史动机；SC-0141 仅展示一种合理失败模式，不证明人类错误频率。由于本章无文献证据支持，不得提及具体理论名称。在证据约束框架下，历史修订事实与受控合成分析各自承担不同的解释功能，共同构成了对翻译问题层级化处理的有限但清晰的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6666"/>
        <w:sz w:val="18"/>
      </w:rPr>
      <w:t xml:space="preserve">第 </w:t>
      <w:fldChar w:fldCharType="begin"/>
      <w:instrText xml:space="preserve"> PAGE </w:instrText>
      <w:fldChar w:fldCharType="end"/>
    </w:r>
    <w:r>
      <w:rPr>
        <w:rFonts w:ascii="Calibri" w:hAnsi="Calibri" w:eastAsia="宋体"/>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