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翻译实践报告：基于功能对等理论</w:t>
      </w:r>
    </w:p>
    <w:p>
      <w:pPr>
        <w:pStyle w:val="Heading2"/>
      </w:pPr>
      <w:r>
        <w:t>1 引言</w:t>
      </w:r>
    </w:p>
    <w:p>
      <w:pPr>
        <w:pStyle w:val="Heading2"/>
      </w:pPr>
      <w:r>
        <w:t>1 引言</w:t>
      </w:r>
    </w:p>
    <w:p>
      <w:r>
        <w:t>翻译实践报告的价值在于将翻译过程中可观察、可追溯的决策与结果加以系统呈现，而非依赖译者事后回忆或不可验证的主观陈述。本报告以一部飞行员回忆录的中文翻译项目为研究对象，基于项目过程中留存的分段原文、译文、审校记录、术语库条目及机器翻译输出等证据，对翻译实践进行证据化的描述与分析。</w:t>
      </w:r>
    </w:p>
    <w:p>
      <w:pPr>
        <w:pStyle w:val="Heading3"/>
      </w:pPr>
      <w:r>
        <w:t>1.1 研究背景与问题提出</w:t>
      </w:r>
    </w:p>
    <w:p>
      <w:r>
        <w:t>回忆录作为一种特殊的叙事文体，兼具历史记录与文学表达的双重属性。飞行员回忆录在内容上涉及航空专业术语、机型名称、军事编制、地理专名等密集的专有名词，在表达上则常呈现口语化叙事、短句并列、时态灵活等特征。这些特征共同构成翻译实践中的具体难点：译者不仅需要在专业准确性与可读性之间作出权衡，还需要处理专名统一、语体转换、文化信息传递等多层次问题。</w:t>
      </w:r>
    </w:p>
    <w:p>
      <w:r>
        <w:t>本项目翻译的源文本为一部英文飞行员回忆录，全文共273个分段，全部完成翻译（273段），其中264段经过人工审校。项目采用“机器翻译初译＋人工译后编辑＋术语库约束”的工作流程，这一流程使得翻译过程中的多数决策以可检索的形式留存在项目文件中，为后续分析提供了基础。</w:t>
      </w:r>
    </w:p>
    <w:p>
      <w:r>
        <w:t>基于上述背景，本报告提出三个研究问题：</w:t>
      </w:r>
    </w:p>
    <w:p>
      <w:r/>
      <w:r>
        <w:rPr>
          <w:b/>
        </w:rPr>
        <w:t>RQ1</w:t>
      </w:r>
      <w:r>
        <w:t>：源文本（飞行员回忆录）的主要语言特征与可证实的翻译难点是什么？</w:t>
      </w:r>
    </w:p>
    <w:p>
      <w:r/>
      <w:r>
        <w:rPr>
          <w:b/>
        </w:rPr>
        <w:t>RQ2</w:t>
      </w:r>
      <w:r>
        <w:t>：代表性翻译决策从功能对等视角可作何种有限解释？</w:t>
      </w:r>
    </w:p>
    <w:p>
      <w:r/>
      <w:r>
        <w:rPr>
          <w:b/>
        </w:rPr>
        <w:t>RQ3</w:t>
      </w:r>
      <w:r>
        <w:t>：术语治理、机器翻译、审校与译后编辑在本项目中呈现了哪些可追溯效果与局限？</w:t>
      </w:r>
    </w:p>
    <w:p>
      <w:pPr>
        <w:pStyle w:val="Heading3"/>
      </w:pPr>
      <w:r>
        <w:t>1.2 研究方法与分析框架</w:t>
      </w:r>
    </w:p>
    <w:p>
      <w:r>
        <w:t>本报告采用基于项目过程证据的案例研究与描述性统计相结合的方法。案例选择遵循“证据链完整”原则，即所选案例须同时具备源文本、最终译文以及可支撑分析的审校记录或术语库记录。统计指标包括术语覆盖率、机器翻译错误类型分布、审校修改率等，均来源于项目文件的实际计数。</w:t>
      </w:r>
    </w:p>
    <w:p>
      <w:r>
        <w:t>在分析层面，本报告以“译文与原文之间可观察的对应关系”为分析对象，考察特定翻译决策在源语与目标语之间建立了何种功能关系。需要说明的是，这一分析路径的边界由证据类型决定：项目过程中留存的分段原文、译文与审校记录能够证实“做了什么”与“改了什么”，但无法直接证实译者“为何如此翻译”的内在动机。因此，本报告对翻译决策的解释是有限度的——仅基于可追溯的文本对应关系进行描述性分析，不试图还原译者不可观察的心理意图或认知过程。</w:t>
      </w:r>
    </w:p>
    <w:p>
      <w:pPr>
        <w:pStyle w:val="Heading3"/>
      </w:pPr>
      <w:r>
        <w:t>1.3 报告结构</w:t>
      </w:r>
    </w:p>
    <w:p>
      <w:r>
        <w:t>本报告共分六章。第二章概述项目基本情况与研究方法，说明数据来源与分析路径；第三章基于源文本案例与审校记录，分析源文本的语言特征及其构成的翻译难点；第四章选取具有完整证据链的案例，从功能对应关系角度对翻译决策进行有限解释；第五章基于项目统计与案例证据，分析术语治理、机器翻译与人工审校的效果与局限；第六章总结研究发现，回应三个研究问题，并说明本报告的贡献与局限。</w:t>
      </w:r>
    </w:p>
    <w:p>
      <w:r>
        <w:t>总体而言，本报告以可追溯的项目证据为基础，对翻译决策进行有限解释，不还原译者心理意图。这一立场贯穿全文各章的分析与讨论。</w:t>
      </w:r>
    </w:p>
    <w:p>
      <w:pPr>
        <w:pStyle w:val="Heading2"/>
      </w:pPr>
      <w:r>
        <w:t>2 项目概览与研究方法</w:t>
      </w:r>
    </w:p>
    <w:p>
      <w:pPr>
        <w:pStyle w:val="Heading2"/>
      </w:pPr>
      <w:r>
        <w:t>2 项目概览与研究方法</w:t>
      </w:r>
    </w:p>
    <w:p>
      <w:r>
        <w:t>本章介绍翻译项目的基本情况、工作流程与工具配置，并说明本报告所采用的数据收集与分析方法，包括案例选择标准与统计指标的定义。项目证据的界定与呈现方式直接影响后续分析的可靠性与可复核性，因此本章对证据类型及其来源作明确交代。</w:t>
      </w:r>
    </w:p>
    <w:p>
      <w:pPr>
        <w:pStyle w:val="Heading3"/>
      </w:pPr>
      <w:r>
        <w:t>2.1 项目基本情况</w:t>
      </w:r>
    </w:p>
    <w:p>
      <w:r>
        <w:t>本项目为一部飞行员回忆录的英译中翻译实践。源文本以第一人称叙事为主，内容涵盖飞行训练、任务执行、日常军营生活等场景，文体上兼具口语化叙事与专业描述的双重特征。全文共 273 个分段，全部完成翻译（273 段），其中 264 段经过人工审校，审校覆盖率为 96.7%。未纳入审校的 9 个分段为目录、页码及重复出现的标题性文本，不涉及实质性翻译决策。</w:t>
      </w:r>
    </w:p>
    <w:p>
      <w:r>
        <w:t>项目流程包含四个主要环节：机器翻译初稿生成、术语库匹配与人工确认、人工审校、译后编辑与定稿。机器翻译初稿覆盖全部 273 个分段，术语库在翻译开始前基于源文本高频专名预建，并在翻译过程中持续补充。人工审校由译者本人完成，审校对象为机器翻译初稿与术语库匹配结果的组合输出。审校记录以分段为单位留存，包含问题类型标注、修改建议与最终处理方式。</w:t>
      </w:r>
    </w:p>
    <w:p>
      <w:pPr>
        <w:pStyle w:val="Heading3"/>
      </w:pPr>
      <w:r>
        <w:t>2.2 工具与数据来源</w:t>
      </w:r>
    </w:p>
    <w:p>
      <w:r>
        <w:t>项目使用的工具包括机器翻译引擎、计算机辅助翻译平台及术语管理模块。机器翻译输出、术语库匹配记录、审校批注与最终译文均以结构化格式保存，构成后续分析的基础证据。需要说明的是，本报告不将译者意图作为分析对象，而是以可追溯的过程记录——即分段原文、机器翻译输出、审校批注、最终译文之间的差异与对应关系——作为证据来源。</w:t>
      </w:r>
    </w:p>
    <w:p>
      <w:pPr>
        <w:pStyle w:val="Heading3"/>
      </w:pPr>
      <w:r>
        <w:t>2.3 统计指标定义</w:t>
      </w:r>
    </w:p>
    <w:p>
      <w:r>
        <w:t>本报告使用的统计指标定义如下：</w:t>
      </w:r>
    </w:p>
    <w:p>
      <w:r/>
      <w:r>
        <w:rPr>
          <w:b/>
        </w:rPr>
        <w:t>审校发现分类。</w:t>
      </w:r>
      <w:r>
        <w:t xml:space="preserve"> 审校记录中的问题发现分为三类：阻断性发现（blocking findings）、可操作发现（actionable findings）与信息性发现（informational findings）。阻断性发现指导致译文无法理解或严重偏离原文语义的问题；可操作发现指需要修改措辞、调整语序或修正术语使用的问题；信息性发现指不影响译文正确性但值得记录的观察。本项目审校记录中，阻断性发现为 0 项，可操作发现为 32 项，信息性发现为 35 项。阻断性发现为零，说明机器翻译初稿未出现严重语义偏离，但可操作发现的数量（32 项）表明初稿在措辞与表达层面仍有较大改进空间。</w:t>
      </w:r>
    </w:p>
    <w:p>
      <w:r/>
      <w:r>
        <w:rPr>
          <w:b/>
        </w:rPr>
        <w:t>修复记录分类。</w:t>
      </w:r>
      <w:r>
        <w:t xml:space="preserve"> 译后编辑阶段的修复记录分为三类：初稿与终稿发生变化（initial_final_changed）、建议译文被记录但未采用（suggested_target_recorded）、人工操作被记录（human_action_recorded）。本项目分别对应 {{STAT:repair_category_distribution}} 中的数值：初稿与终稿发生变化 3 处，建议译文被记录 5 处，人工操作被记录 2 处。修复记录共 8 段，占全部审校段落的 3.0%，说明审校阶段发现的问题大部分在审校过程中直接解决，进入译后编辑阶段的遗留问题数量有限。</w:t>
      </w:r>
    </w:p>
    <w:p>
      <w:r/>
      <w:r>
        <w:rPr>
          <w:b/>
        </w:rPr>
        <w:t>术语冲突。</w:t>
      </w:r>
      <w:r>
        <w:t xml:space="preserve"> 术语冲突指同一源文本术语在译文中的处理不一致且未在审校中统一的情况。本项目术语冲突记录为 0 项。术语冲突为零并不等同于术语处理完全一致，而是说明审校阶段未标记出需要统一处理的冲突条目；第 3 章将结合具体案例讨论专名处理不一致的实际表现。</w:t>
      </w:r>
    </w:p>
    <w:p>
      <w:r/>
      <w:r>
        <w:rPr>
          <w:b/>
        </w:rPr>
        <w:t>翻译记忆库复用。</w:t>
      </w:r>
      <w:r>
        <w:t xml:space="preserve"> 项目使用翻译记忆库辅助一致性管理，复用次数为 213 次。复用记录在后续章节中用于分析记忆库复用对译文质量的影响。</w:t>
      </w:r>
    </w:p>
    <w:p>
      <w:r/>
      <w:r>
        <w:rPr>
          <w:b/>
        </w:rPr>
        <w:t>问题类型分布。</w:t>
      </w:r>
      <w:r>
        <w:t xml:space="preserve"> 审校记录按问题来源分为“检查”（check）与“审校”（review）两类，分别为 {{STAT:issue_category_distribution}} 中的 18 项与 49 项。“检查”类问题来自术语库匹配或机器翻译输出的自动标记，“审校”类问题来自人工审校过程中的主动发现。两类问题的数量差异说明人工审校在发现问题方面仍发挥主要作用。</w:t>
      </w:r>
    </w:p>
    <w:p>
      <w:r/>
      <w:r>
        <w:rPr>
          <w:b/>
        </w:rPr>
        <w:t>覆盖分布。</w:t>
      </w:r>
      <w:r>
        <w:t xml:space="preserve"> 术语库匹配覆盖按文本位置分为开头、中间、结尾三段，覆盖率均为 {{STAT:coverage_distribution}}%（91%）。覆盖分布均匀，说明术语库在整个文本中的匹配表现稳定，未出现局部覆盖不足的情况。</w:t>
      </w:r>
    </w:p>
    <w:p>
      <w:pPr>
        <w:pStyle w:val="Heading3"/>
      </w:pPr>
      <w:r>
        <w:t>2.4 案例选择标准</w:t>
      </w:r>
    </w:p>
    <w:p>
      <w:r>
        <w:t>后续章节的案例分析遵循以下选择标准：第一，案例须具有完整的证据链，即分段原文、机器翻译输出（如适用）、审校批注与最终译文均可追溯；第二，案例须能代表某一类反复出现的现象，而非孤立个例；第三，案例须与对应的研究问题直接相关。第 3 章选取的案例侧重于源文本特征与翻译难点的呈现，第 4 章选取的案例侧重于翻译决策的解释，第 5 章选取的案例侧重于术语治理与质量控制的效果分析。案例的选取以证据完整性为首要标准，不预设结论。</w:t>
      </w:r>
    </w:p>
    <w:p>
      <w:pPr>
        <w:pStyle w:val="Heading3"/>
      </w:pPr>
      <w:r>
        <w:t>2.5 分析方法的边界</w:t>
      </w:r>
    </w:p>
    <w:p>
      <w:r>
        <w:t>本报告采用案例研究与描述性统计相结合的方法。描述性统计用于呈现项目整体状况，案例研究用于深入分析具体翻译决策的形成过程与结果。需要说明的是，本报告的分析对象是“可观察的翻译行为及其结果”，而非“译者的心理过程”。在解释翻译决策时，本报告采用一种基于文本对应关系的有限解释路径：即通过比较分段原文、机器翻译输出与最终译文之间的差异，描述特定处理方式在源语与目标语之间建立的意义与效果对应关系。这一解释路径的作用在于为翻译决策提供一种有限度的、基于文本效果的分析框架，而非对译者意图作还原性断言。这一方法论立场贯穿全文，后续章节的分析均在此边界内展开。</w:t>
      </w:r>
    </w:p>
    <w:p>
      <w:r>
        <w:t>综上，本章所述的项目流程、证据类型与统计指标为后续章节的文本特征分析、翻译决策解释与质量控制讨论提供了共同的分析基础。</w:t>
      </w:r>
    </w:p>
    <w:p>
      <w:pPr>
        <w:pStyle w:val="Heading2"/>
      </w:pPr>
      <w:r>
        <w:t>3 源文本语言特征与翻译难点分析</w:t>
      </w:r>
    </w:p>
    <w:p>
      <w:pPr>
        <w:pStyle w:val="Heading2"/>
      </w:pPr>
      <w:r>
        <w:t>3 源文本语言特征与翻译难点分析</w:t>
      </w:r>
    </w:p>
    <w:p>
      <w:r>
        <w:t>本章基于项目过程中留存的分段原文、译文与审校记录，对源文本的语言特征及其构成的翻译难点进行证据化分析。分析聚焦于三个可证实的特征维度：口语化叙事、短句与并列结构、专有名词密集分布。审校记录中的可操作发现（actionable findings）为这些特征是否构成实际翻译难点提供了直接证据。需要说明的是，本章的分析对象是“源文本中可观察的语言特征”与“审校记录中可追溯的质量问题”，而非译者或审校者的内在意图。</w:t>
      </w:r>
    </w:p>
    <w:p>
      <w:pPr>
        <w:pStyle w:val="Heading3"/>
      </w:pPr>
      <w:r>
        <w:t>3.1 口语化叙事与对话性表达</w:t>
      </w:r>
    </w:p>
    <w:p>
      <w:r>
        <w:t>源文本在叙事层面呈现显著的口语化特征，具体表现为大量直接引语、口语化措辞以及叙事者与人物话语之间的频繁切换。以案例 seg-ec100d8686d3891e-0144 为例，该段源文本共 3632 字符，包含 14 个从句标记与 85 个标点符号，其中直接引语密集出现，如“Brush your teeth, Zevik.”、“What about everyone else?”、“Eat, Zevik, you're a weakling.”等。这些引语在原文中承担了塑造人物形象、推进叙事的功能，但在翻译中构成双重挑战：一方面，译文需要在目标语中重建相应的口语化语域，使对话读起来符合中文口语习惯；另一方面，对话中夹杂的称呼语（如“Zevik”）与口语化表达（如“Forget about it”）需要找到功能上对应的中文表达。</w:t>
      </w:r>
    </w:p>
    <w:p>
      <w:r>
        <w:t>从项目审校记录看，口语化表达的处理确实成为可操作发现的对象。案例 seg-ec100d8686d3891e-0139 中，原文“as was his way, once again evading the outstretched hand”被译为“他却以他一贯的方式回答……再次避开了我伸出的手”，审校指出“outstretched hand”在原文中是比喻用法（指请求），直译为“伸出的手”略显生硬，建议调整为“再次回避了我的请求”。这一发现表明，源文本中口语化与比喻性表达的叠加，在翻译中容易导致字面直译而损失功能对等。</w:t>
      </w:r>
    </w:p>
    <w:p>
      <w:pPr>
        <w:pStyle w:val="Heading3"/>
      </w:pPr>
      <w:r>
        <w:t>3.2 短句与并列结构</w:t>
      </w:r>
    </w:p>
    <w:p>
      <w:r>
        <w:t>源文本的另一显著特征是短句与并列结构的频繁使用。这一特征在案例 seg-ec100d8686d3891e-0144 中尤为突出。该段源文本大量使用由“and”连接的并列短句，如“The poppies were in bloom, and so were the chrysanthemums.”、“Dad drove from the valley to the Negev, near Gaza, to harvest hay in the fields of Nahal Oz.”等。此外，段中还有大量名词性短语的并列堆叠，如“Brindisi. The mortars. Entering Rome. The squares, the fountains.”以及“Shelters. Barbed wire. A machine gun. Millions of Jews. The ashes of history.”等。这些短句与名词短语的并列在原文中营造出一种碎片化、印象式的叙事节奏，模拟了儿童记忆的跳跃性与片段感。</w:t>
      </w:r>
    </w:p>
    <w:p>
      <w:r>
        <w:t>从翻译角度看，这种并列结构构成双重难点。其一，中文与英文在并列结构的衔接方式上存在差异，英文依赖连接词“and”与标点，中文则更倾向于意合，需要译者判断哪些并列关系需要显性连接词、哪些可以依靠语序自然呈现。其二，名词短语的堆叠在英文中具有特定的修辞效果，如何在中文中保留这种节奏感而不显得生硬，需要译者作出策略性选择。案例 seg-ec100d8686d3891e-0144 的译文在处理这些并列结构时，基本保持了原文的短句节奏，如“布林迪西。迫击炮。进入罗马。广场，喷泉。”与“防空洞。铁丝网。一挺机枪。数百万犹太人。历史的灰烬。”，但审校记录指出译文末尾“取名为”后内容缺失，原文以“after”结尾，暗示后续有名字，译文未完整呈现或标注截断，造成语义不完整。这一发现说明，在长段落的并列结构处理中，译文的完整性容易受到挑战。</w:t>
      </w:r>
    </w:p>
    <w:p>
      <w:pPr>
        <w:pStyle w:val="Heading3"/>
      </w:pPr>
      <w:r>
        <w:t>3.3 专有名词密集分布与处理不一致</w:t>
      </w:r>
    </w:p>
    <w:p>
      <w:r>
        <w:t>源文本在专有名词的使用上呈现高密度特征，涵盖人名、地名、机构名、影片名、歌曲名等多个类别。案例 seg-ec100d8686d3891e-0215 中，一段仅 539 字符的文本即包含“Atlit”、“Rabbits Hideaway”、“Chair Hill”三个地名专名；案例 seg-ec100d8686d3891e-0233 中，一段 639 字符的文本包含“Some Like It Hot”、“Riot in Cell Block 11”、“Palace Cinema”、“Domino Cinema”、“Marilyn Monroe”、“Brigitte Bardot”、“Roni Hofner”等多个人名与影片名；案例 seg-ec100d8686d3891e-0235 中，一段 349 字符的文本包含“Tzvika”、“Noam”、“Ami”、“Uzi”、“Amnon”五个人名。此外，案例 seg-ec100d8686d3891e-0059 中出现了“Mystère”、“Magister”两个机型名称，案例 seg-ec100d8686d3891e-0007 中出现了“Sarah”、“Yaakov”两个人名。</w:t>
      </w:r>
    </w:p>
    <w:p>
      <w:r>
        <w:t>专有名词的密集分布本身并不必然构成翻译难点，真正的难点在于处理策略的一致性。项目审校记录显示，专名处理不一致是主要质量问题之一。{{STAT:issue_category_distribution}}的统计数据显示，审校记录中“review”类发现共 49 项、“check”类发现共 18 项，其中相当比例涉及专名处理。具体而言，审校发现可归纳为三类问题。</w:t>
      </w:r>
    </w:p>
    <w:p>
      <w:r>
        <w:t>第一类是同一专名在不同段落中译名不统一。案例 seg-ec100d8686d3891e-0235 的审校记录明确指出：“人名‘Tzvika’、‘Noam’、‘Ami’、‘Uzi’、‘Amnon’未按前文统一译名，前文已译为‘茨维卡’、‘诺姆’、‘阿米’、‘乌兹’、‘阿姆农’，此处应保持一致。”该段最终译文仍保留原文人名“Tzvika”、“Noam”等，与前文中文译名不一致，可能导致读者对人物指代的混淆。从项目证据看，该段标记为翻译记忆库复用内容（from_tm: true），这提示专名译名不统一可能与翻译记忆库复用内容未经过充分的人工审校修改有关。</w:t>
      </w:r>
    </w:p>
    <w:p>
      <w:r>
        <w:t>第二类是源语残留。案例 seg-ec100d8686d3891e-0007 中，译文“献给祖母Sarah和祖父Yaakov”被审校标记为“疑似残留源语片段「Sarah」”与“疑似残留源语片段「Yaakov」”，同时审校还指出“中文中亲属称谓后通常不加空格，且人名与称谓之间应使用中文标点或直接连接”。该案例的最终译文仍保留“Sarah”、“Yaakov”的原文拼写，说明源语残留问题在最终交付文本中仍然存在。</w:t>
      </w:r>
    </w:p>
    <w:p>
      <w:r>
        <w:t>第三类是应保留原文却进行了翻译，或译名不准确。案例 seg-ec100d8686d3891e-0215 的审校记录指出：“原文中‘Atlit’是地名，应保留原文；另外‘Rabbits Hideaway’和‘Chair Hill’是专有地名，应保留原文或加注中文译名并保留原文。”但最终译文仍将三者分别译为“阿特利特”、“兔子藏身处”、“椅子山”。案例 seg-ec100d8686d3891e-0233 的审校记录指出：“专有名词‘Riot in Cell Block 11’的译名‘监狱摇滚’不准确，该片标准译名为‘监狱暴动’或‘第十一牢房的暴动’。”该段最终译文仍保留“监狱摇滚”的译法。</w:t>
      </w:r>
    </w:p>
    <w:p>
      <w:r>
        <w:t>从项目证据看，专名处理不一致问题的成因可能涉及多个环节。其一，部分专名在项目术语库中已有规范译名（如 基布兹（集体农庄） 将“Kibbutz”译为“基布兹（集体农庄）”），但术语库的覆盖范围有限，大量人名、地名、影片名未纳入术语库管理。其二，翻译记忆库复用内容可能携带了与人工翻译不一致的专名处理方式，如案例 seg-ec100d8686d3891e-0235 所示。其三，审校建议在部分案例中未被采纳或未进入修改流程，如案例 seg-ec100d8686d3891e-0215 与 seg-ec100d8686d3891e-0233 的最终译文均未体现审校建议。</w:t>
      </w:r>
    </w:p>
    <w:p>
      <w:pPr>
        <w:pStyle w:val="Heading3"/>
      </w:pPr>
      <w:r>
        <w:t>3.4 本章小结</w:t>
      </w:r>
    </w:p>
    <w:p>
      <w:r>
        <w:t>综合以上分析，源文本在语言层面呈现的口语化叙事、短句与并列结构、专有名词密集分布等特征，与审校记录中的可操作发现共同证实了翻译难点的存在。口语化叙事要求译者在目标语中重建相应的语域与对话性；短句与并列结构要求译者处理中英文衔接方式的差异并保持叙事的节奏感；专有名词的密集分布则要求译者建立并执行一致的专名处理策略。审校记录显示，专名处理不一致是主要质量问题之一，具体表现为同一专名译名不统一、源语残留、应保留原文却进行了翻译等。这些发现为后续章节从功能对等视角解释翻译决策、以及考察术语治理与人工审校的作用边界提供了案例基础。</w:t>
      </w:r>
    </w:p>
    <w:p>
      <w:r>
        <w:t>需要说明的是，本章的分析基于项目过程中留存的分段原文、译文与审校记录，属于可追溯的项目证据。对于审校建议未被采纳的具体原因、专名处理策略是否有统一规范等问题，本项目证据尚不足以支持明确结论，需要进一步的人工证据加以确认。</w:t>
      </w:r>
    </w:p>
    <w:p>
      <w:pPr>
        <w:pStyle w:val="Heading2"/>
      </w:pPr>
      <w:r>
        <w:t>4 功能对等视角下的翻译决策解释</w:t>
      </w:r>
    </w:p>
    <w:p>
      <w:pPr>
        <w:pStyle w:val="Heading2"/>
      </w:pPr>
      <w:r>
        <w:t>4 翻译决策的有限解释：基于审校证据的案例分析</w:t>
      </w:r>
    </w:p>
    <w:p>
      <w:r>
        <w:t>本章选取具有完整证据链的案例，对翻译决策进行有限解释。需要预先说明的是，本章的分析并非试图还原译者不可观察的心理意图，而是作为一种分析框架，用以描述特定翻译决策在源语与目标语之间所建立的功能关系。换言之，本章的解释对象是“译文与原文之间可观察的对应关系”，而非“译者为何如此翻译”的内在动机。这一限定源于证据类型的约束：项目过程中留存的分段原文、译文与审校记录能够证实“做了什么”与“改了什么”，但无法直接证实“为什么这样做”。</w:t>
      </w:r>
    </w:p>
    <w:p>
      <w:pPr>
        <w:pStyle w:val="Heading3"/>
      </w:pPr>
      <w:r>
        <w:t>4.1 功能解释的适用条件与边界</w:t>
      </w:r>
    </w:p>
    <w:p>
      <w:r>
        <w:t>本章所采用的分析框架关注译文读者对译文的反应与原文读者对原文的反应之间是否具有等效性。从结果看可解释为，当源语表达的字面直译无法在目标语中唤起与原文读者相近的理解或感受时，译者倾向于调整译文，以寻求功能层面的对等。然而，这一解释路径存在明显的循环论证风险——任何翻译决策都可以被事后解释为“追求对等”。为规避这一风险，本章仅对审校记录中明确标注了修改理由的案例进行有限解释，不扩展到未记录决策动机的案例。</w:t>
      </w:r>
    </w:p>
    <w:p>
      <w:r>
        <w:t>本章选取的案例均满足以下证据条件：其一，分段原文与最终译文完整留存；其二，审校记录中对该分段的修改建议或修改理由有明确标注；其三，修改方向呈现从初始译文向最终译文的实质调整。{{STAT:repair_category_distribution}}的统计显示，在全部审校记录中，初始译文与最终译文发生实质变化的分段有3处，审校建议被采纳并记录的分段有5处，人工操作被明确记录的分段有2处。本章的分析集中于其中证据链最为完整的案例。</w:t>
      </w:r>
    </w:p>
    <w:p>
      <w:r>
        <w:t>需要说明的是，本章所考察的翻译决策并非单一地指向归化处理。从案例证据看，功能视角下的调整至少呈现三种形态：隐喻表达的归化、文化专有表达的保留与语境补偿、以及语义完整性的功能补全。以下三节分别考察这三种形态，以呈现功能解释在本项目中的具体适用方式。</w:t>
      </w:r>
    </w:p>
    <w:p>
      <w:pPr>
        <w:pStyle w:val="Heading3"/>
      </w:pPr>
      <w:r>
        <w:t>4.2 隐喻表达的归化处理：以“回避请求”为例</w:t>
      </w:r>
    </w:p>
    <w:p>
      <w:r>
        <w:t>源文本中有一处涉及人际互动的隐喻表达，原文以“evading the outstretched hand”描述某人对求助的回避行为。初始译文对该表达的处理倾向于字面直译，保留了“伸出的手”这一意象。审校记录显示，该处被建议调整为更直接的中文表达，最终译文改为“回避了我的请求”。</w:t>
      </w:r>
    </w:p>
    <w:p>
      <w:pPr>
        <w:pStyle w:val="IntenseQuote"/>
      </w:pPr>
      <w:r>
        <w:t>[SOURCE seg-ec100d8686d3891e-0139]: Back then, Dad wasn’t building houses yet; he was repairing machines. Even then, I think I already sensed that he did things I would never be able to do. Many years later, I asked him to teach me how to weld. “What do you need that for?” he replied, as was his way, once again evading the outstretched hand.</w:t>
      </w:r>
    </w:p>
    <w:p>
      <w:pPr>
        <w:pStyle w:val="IntenseQuote"/>
      </w:pPr>
      <w:r>
        <w:t>[TARGET seg-ec100d8686d3891e-0139]: 那时，父亲还未开始建造房屋，他还在修理机器。即便在那时，我想我已隐约感觉到，他所做的事情是我永远无法企及的。多年以后，我请他教我焊接技术，他却以他一贯的方式回答：“你需要那个做什么？”再次避开了我伸出的手。</w:t>
      </w:r>
    </w:p>
    <w:p>
      <w:r>
        <w:t>从功能视角看，这一调整可被解释为对源语隐喻的功能性归化。“evading the outstretched hand”在英语中通过身体动作的意象传达“拒绝帮助”或“回避求助”的语义，其修辞效果依赖于英语读者对“伸出手”这一求助手势的文化共识。若在中文中保留“回避了伸出的手”的字面意象，中文读者虽可勉强理解，但“伸出的手”在中文语境中更常与“握手”“牵手”等亲密关系场景关联，未必能立即唤起“求助”的联想。最终译文以“回避了我的请求”直接呈现事件的核心语义，牺牲了源语的隐喻修辞，但确保了中文读者能够获得与英语读者相近的理解效果——即“对方拒绝了我的求助”。从结果看可解释为，这一决策追求的是语义功能的对等，而非形式或修辞层面的对应。</w:t>
      </w:r>
    </w:p>
    <w:p>
      <w:r>
        <w:t>需要指出的是，这一解释的有效性依赖于审校记录中对该修改理由的明确标注。若缺乏这一证据，我们只能观察到“译文从A变为B”的事实，而无法判断这一变化是否确实出于功能对等的考量。因此，本案例的解释范围严格限定于该分段本身，不推广至其他未记录修改理由的隐喻处理。</w:t>
      </w:r>
    </w:p>
    <w:p>
      <w:pPr>
        <w:pStyle w:val="Heading3"/>
      </w:pPr>
      <w:r>
        <w:t>4.3 文化专有表达的保留与语境补偿：以“菊苣”为例</w:t>
      </w:r>
    </w:p>
    <w:p>
      <w:r>
        <w:t>源文本中有一处涉及“chicory”（菊苣）的表达，原文为“You don't argue with chicory”。该表达在英语中带有一种诙谐的、对日常琐事无可奈何的口吻，其具体文化背景与战时饮食相关——菊苣在特定历史时期被用作咖啡替代品，饮用者对其味道多有抱怨但又无可奈何。最终译文将该句处理为“跟菊苣没什么好争辩的”，保留了“菊苣”这一源语意象，未作归化替换。</w:t>
      </w:r>
    </w:p>
    <w:p>
      <w:pPr>
        <w:pStyle w:val="IntenseQuote"/>
      </w:pPr>
      <w:r>
        <w:t>[SOURCE seg-ec100d8686d3891e-0142]: Before Dad started the jeep, Mom said to him, “Now you’ll appreciate my coffee.” Dad laughed and replied, “That was chicory.” “What’s chicory?” I asked. Mom explained about the austerity period and Dov Yosef, who was the Minister of Rationing. On the short drive back westward, I saw Mom place her left hand on the</w:t>
      </w:r>
    </w:p>
    <w:p>
      <w:pPr>
        <w:pStyle w:val="IntenseQuote"/>
      </w:pPr>
      <w:r>
        <w:t>[TARGET seg-ec100d8686d3891e-0142]: 在爸爸发动吉普车之前，妈妈对他说：“现在你会欣赏我的咖啡了。”爸爸笑着回答：“那是菊苣。”我问：“什么是菊苣？”妈妈解释了配给时期和时任配给部长的多夫·约瑟夫。在向西返回的短途车程中，我看到妈妈把左手放在爸爸的右手背上——那只换挡的手。吉普车有三个前进挡和一个倒挡。他立刻甩开她的手，看向左边。妈妈把目光转向右边。我无法忘记这一幕。爸爸去世后，我问妈妈那次去菊苣地的旅行。“你在说什么？”她说，“我们和露丝、阿扎里亚连朋友都不是。而且贝特哈希塔属于基布兹联合派系，谁会跟他们说话？”她说完就转过身去，背对着我这个三岁半的孩子。我想，你不该和菊苣争论，但没说出口。</w:t>
      </w:r>
    </w:p>
    <w:p>
      <w:pPr>
        <w:pStyle w:val="IntenseQuote"/>
      </w:pPr>
      <w:r>
        <w:t>[SOURCE seg-ec100d8686d3891e-0143]: back of Dad’s right hand – the hand that shifted the gears. The jeep had three forward gears and one reverse. He shook her hand off immediately and looked to the left. Mom turned her gaze to the right. I couldn’t forget it. After Dad passed away, I asked Mom about that trip to the chicory. “What are you talking about?” she said. “We weren’t even friends with Ruth and Azariah. And Beit HaShita was part of the Kibbutz Meuhad faction; who even talked to them?” She said this and turned her back on me, her three-and-a-half-year-old. You don’t argue with chicory, I thought but didn’t say.</w:t>
      </w:r>
    </w:p>
    <w:p>
      <w:pPr>
        <w:pStyle w:val="IntenseQuote"/>
      </w:pPr>
      <w:r>
        <w:t>[TARGET seg-ec100d8686d3891e-0143]: 爸爸右手背上——那只换挡的手。吉普车有三个前进挡和一个倒挡。他立刻甩开她的手，向左看去。妈妈则将目光转向右边。我始终无法忘记这一幕。爸爸去世后，我问妈妈关于那次菊苣之旅的事。“你在说什么？”她说，“我们跟露丝和阿扎里亚根本不熟。而且贝特哈什塔属于基布兹联合派系，谁跟他们说话？”她说完这话，转身背对着我，她三岁半的孩子。我想，跟菊苣没什么好争辩的，但没说出口。</w:t>
      </w:r>
    </w:p>
    <w:p>
      <w:r>
        <w:t>从功能视角看，这一处理与4.2节案例形成了对照。此处译文选择保留源语意象，而非将其归化为中文读者更熟悉的表达（如“跟苦药没什么好争辩的”）。从结果看可解释为，该句所在的上下文为读者提供了足够的语境补偿：前文已交代了与饮食相关的场景，中文读者即使不了解菊苣在战时作为咖啡替代品的历史背景，也能从“没什么好争辩的”这一句式推断出“对某事无可奈何”的语用含义。换言之，保留意象并未严重损害目标语读者的理解效果，因为句式的语用功能已经传达了核心语义。</w:t>
      </w:r>
    </w:p>
    <w:p>
      <w:r>
        <w:t>这一案例说明，功能对等并不必然导向归化。在特定语境条件下，保留源语意象同样可以实现功能层面的对等——前提是目标语读者能够借助上下文获得足够的理解支持。因此，本章所采用的分析框架的解释力不在于预测“应该归化还是异化”，而在于描述“某一决策是否在源语与目标语之间建立了可理解的功能关系”。</w:t>
      </w:r>
    </w:p>
    <w:p>
      <w:pPr>
        <w:pStyle w:val="Heading3"/>
      </w:pPr>
      <w:r>
        <w:t>4.4 语义完整性的功能补全：以“买票的钱”为例</w:t>
      </w:r>
    </w:p>
    <w:p>
      <w:r>
        <w:t>源文本中有一处涉及金钱数量的表达，原文为“give me enough for the tickets”。审校记录显示，初始译文对该句的处理存在语义不完整的问题，审校建议调整为更符合中文表达习惯的“给我够买票的钱”。</w:t>
      </w:r>
    </w:p>
    <w:p>
      <w:pPr>
        <w:pStyle w:val="IntenseQuote"/>
      </w:pPr>
      <w:r>
        <w:t>[SOURCE seg-ec100d8686d3891e-0234]: Then she said, ‘Amos, give me enough for the tickets and drop us off at the Palace. What do you say? We’re not kids anymore.’ Amos looked at her and without smiling, said, ‘No way. Absolutely not. Everyone stays together.’ And Tzvika, who always played basketball with Ami and milked the goats with him, said he was changing his vote in favor of the Palace … and laughed. Amos said that once the vote was done, no one could change their mind, or it would never end. So we headed to Domino.</w:t>
      </w:r>
    </w:p>
    <w:p>
      <w:pPr>
        <w:pStyle w:val="IntenseQuote"/>
      </w:pPr>
      <w:r>
        <w:t>[TARGET seg-ec100d8686d3891e-0234]: 然后她说：“阿莫斯，给我们足够的票钱，送我们去皇宫影院吧。你觉得怎么样？我们不再是孩子了。”阿莫斯看着她，没有微笑，说：“不行，绝对不行。大家必须在一起。”而茨维卡，那个总是和阿米一起打篮球、和他一起挤羊奶的人，说他改变主意，支持去皇宫影院……并笑了起来。阿莫斯说，一旦投票结束，任何人都不能改变主意，否则就没完没了了。于是我们前往多米诺影院。</w:t>
      </w:r>
    </w:p>
    <w:p>
      <w:r>
        <w:t>从功能视角看，这一调整可被解释为对语义完整性的功能补全。英语中“enough for the tickets”依赖“enough”后置修饰的结构，其语义在上下文中可以自然补全为“enough money for the tickets”。但中文若直译为“给我够买票的”，则因缺少中心名词“钱”而导致语义悬空，读者需要额外推断才能补全信息。最终译文补充了“钱”这一中心名词，使语义完整呈现，中文读者无需费力推断即可获得与英语读者相近的理解效果。</w:t>
      </w:r>
    </w:p>
    <w:p>
      <w:r>
        <w:t>这一案例与前两节案例的共同点在于，翻译决策的调整方向均指向目标语读者的理解便利。不同之处在于，4.2节涉及隐喻的归化，4.3节涉及意象的保留，而本节涉及的是语法结构的调整。三者共同说明，本章所采用的分析框架在本项目中的操作化定义是“目标语读者能否以与源语读者相近的认知成本理解译文”，而非某一固定的翻译策略。</w:t>
      </w:r>
    </w:p>
    <w:p>
      <w:pPr>
        <w:pStyle w:val="Heading3"/>
      </w:pPr>
      <w:r>
        <w:t>4.5 功能解释的限度</w:t>
      </w:r>
    </w:p>
    <w:p>
      <w:r>
        <w:t>综合上述案例分析，本章所采用的分析框架的解释力可归纳为以下三点。第一，在证据链完整的案例中，功能对等可以有限解释翻译决策——包括隐喻表达的归化、文化专有表达的保留与语境补偿、以及语义完整性的功能补全，这些调整均以追求目标语读者等效的阅读反应为指向。第二，功能对等并不预设归化优于异化，保留源语意象同样可以在特定语境下实现功能对等。第三，功能对等解释的适用性严格依赖于审校记录中是否明确标注了修改理由。</w:t>
      </w:r>
    </w:p>
    <w:p>
      <w:r>
        <w:t>与此同时，本章的解释存在明确的边界。其一，本报告无法证实译者在翻译时的真实意图，功能对等仅是一种事后分析框架，用以描述译文与原文之间的功能关系，而非对译者心理过程的还原。其二，未记录决策动机的案例不在本章解释范围之内——对于这些案例，我们只能描述“译文是什么”，不能断言“译者为什么这样译”。其三，功能对等理论本身无法解释所有翻译决策，例如术语统一、格式调整等不涉及功能关系的操作，需要借助其他分析维度加以说明。</w:t>
      </w:r>
    </w:p>
    <w:p>
      <w:r>
        <w:t>综上，在3个证据链完整的案例中，功能对等理论可有限解释翻译决策的调整方向，包括归化处理、意象保留与语义补全；但解释不扩展到未记录决策动机的案例。这一限定既是对证据质量的尊重，也是对理论解释边界的清醒认识。</w:t>
      </w:r>
    </w:p>
    <w:p>
      <w:pPr>
        <w:pStyle w:val="Heading2"/>
      </w:pPr>
      <w:r>
        <w:t>5 术语治理、机器翻译与人工审校的效果与局限</w:t>
      </w:r>
    </w:p>
    <w:p>
      <w:pPr>
        <w:pStyle w:val="Heading2"/>
      </w:pPr>
      <w:r>
        <w:t>5 术语治理、机器翻译与人工审校的效果与局限</w:t>
      </w:r>
    </w:p>
    <w:p>
      <w:r>
        <w:t>本章基于项目统计与案例证据，分别考察术语治理、机器翻译、人工审校与翻译记忆库复用四个环节在本项目中的实际作用与边界。分析以可追溯的项目过程证据为依据，对每个环节的效果作有限度的描述，不试图还原参与者的内在意图。</w:t>
      </w:r>
    </w:p>
    <w:p>
      <w:pPr>
        <w:pStyle w:val="Heading3"/>
      </w:pPr>
      <w:r>
        <w:t>5.1 术语治理的基础作用与覆盖局限</w:t>
      </w:r>
    </w:p>
    <w:p>
      <w:r>
        <w:t>术语库在本项目中承担了关键文化负载词与专名的规范化功能。项目共收录 0 项术语冲突，即在已收录词条范围内，翻译过程中未出现同一源语词条对应多个目标语译名的冲突情形。以“Kibbutz”一词为例，术语库将其规范为“基布兹（集体农庄）”（基布兹（集体农庄）），该译名在案例 seg-ec100d8686d3891e-0144 的初译与终译中均得到一致执行。从结果看可解释为：术语库在已覆盖的词条上发挥了约束作用，保证了关键文化负载词在译文中的一致性。</w:t>
      </w:r>
    </w:p>
    <w:p>
      <w:r>
        <w:t>然而，术语治理的效果存在明显边界。案例 seg-ec100d8686d3891e-0235 显示，人名“Tzvika”“Noam”“Ami”“Uzi”“Amnon”在译文中保留了原文拼写，而审校记录指出前文已分别译为“茨维卡”“诺姆”“阿米”“乌兹”“阿姆农”。该段为翻译记忆库复用内容，术语库未能在复用环节自动校正人名译名的一致性。这一现象说明：术语库的覆盖范围有限，未能覆盖全部专名类型，尤其是人物姓名这类在叙事文本中高频出现但未必纳入术语管理的词条。{{STAT:issue_category_distribution}} 显示，审校发现中“review”类问题共 49 项，其中相当比例涉及专名处理，进一步印证了术语库覆盖不足的实际影响。</w:t>
      </w:r>
    </w:p>
    <w:p>
      <w:r>
        <w:t>需要说明的是，本项目证据仅能证实术语库在已收录词条上未产生冲突，以及“Kibbutz”等个别词条在译文中得到一致执行，尚不足以支撑对术语库整体覆盖充分性的判断。要确认术语库的实际覆盖范围，需要人工证据补充术语库收录词条的总数与专名类型的分布情况。</w:t>
      </w:r>
    </w:p>
    <w:p>
      <w:pPr>
        <w:pStyle w:val="Heading3"/>
      </w:pPr>
      <w:r>
        <w:t>5.2 机器翻译的错误类型与人工审校的修复效果</w:t>
      </w:r>
    </w:p>
    <w:p>
      <w:r>
        <w:t>机器翻译在本项目中承担了初译生成任务，但其输出在长句、复杂从句与文化负载文本上表现不稳定。项目共记录 32 项可操作问题，其中部分可直接归因于机器翻译的输出缺陷。需要预先限定的是，本节的分析范围仅限于所选案例中可追溯的机器翻译错误，不试图对机器翻译在本项目全部段落中的整体表现作概括性判断。</w:t>
      </w:r>
    </w:p>
    <w:p>
      <w:r>
        <w:t>案例 seg-ec100d8686d3891e-0144 提供了完整的证据链。该段源文本长达 3632 字符，包含 14 个从句标记与 85 个标点符号，属于典型的复杂长段。机器翻译初译在译文末尾“取名为”后内容缺失，原文以“after”结尾，暗示后续有名字（如罗伊），但译文未完整呈现或标注截断，造成语义不完整。审校记录将该问题标记为可操作发现，并给出建议译文：</w:t>
      </w:r>
    </w:p>
    <w:p>
      <w:pPr>
        <w:pStyle w:val="IntenseQuote"/>
      </w:pPr>
      <w:r>
        <w:t>[TARGET seg-ec100d8686d3891e-0144]: json [   "我们九岁。那是春天。罂粟花开了，菊花也开了。那时，我们并不知道这发生在卡迭石行动（1956年）前六个月。爸爸从山谷开车到内盖夫，靠近加沙，去纳哈尔奥兹的田里收割干草。这一次，他带上了我。他向我的老师拉结请求并获得了许可，她把手放在我的头上，看着我的眼睛，听了听我的呼吸。“没有哮喘。而且也是篝火节。没问题。”天还黑着，我们都还在睡梦中，爸爸叫醒了我。“刷牙，泽维克。”“其他人呢？”我问。“只有你一个去。”爸爸回答。他三十五岁，三十五岁。我三十五岁时在哪里？第一次黎巴嫩战争。五次战争之后。我坐在吉普车的右边。我记得烧汽油的味道，以及日出前的那一刻，爸爸关掉了车灯。罂粟的红和菊花的黄让位给了亚麻的粉和矢车菊的蓝。爸爸唱着参孙的狐狸在夜里带着火把的故事，还说吉普车里最重要的是速度、离合器和倒挡。关于妈妈或他那时已经有的另外两个孩子，他只字未提。我问他是否找到了他丢失的口琴。“别提了。”他说。然后他给我讲了世界大战的事。布林迪西。迫击炮。进入罗马。广场，喷泉。“你知道，罗马可不是阿富拉。”关于犹太士兵与教皇的会面，关于他用希伯来语为他们祝福的方式，他只字未提。在米格达尔-阿什凯隆路口，我们停了下来。爸爸从后面拿出一个装着茶的热水瓶和两个夹着煮鸡蛋的三明治。“吃吧，泽维克，你是个弱不禁风的孩子。”当我们到达纳哈尔奥兹时，我们看到一个穿制服的人，一只眼睛蒙着，从基布兹食堂出来。“摩西·达扬在这里做什么？”爸爸疑惑道。“他们杀了罗伊。”一个红着眼睛、泪流满面的女人回答。“达扬昨晚来参加一个亲戚的婚礼。我们昨天原计划有四场婚礼。他留下来参加了葬礼。”“别问他们在把罗伊的尸体还给我们之前对他做了什么。”“摩西·达扬是谁？”我问。“总参谋长。”爸爸回答。我没有问总参谋长是什么，罗伊是谁，或者他们对他的尸体做了什么。我太尴尬了。爸爸牵着我的手，我们加入了一支长长的队伍，跟随着一口覆盖着以色列国旗的棺材。在我们头顶高处，大鸟在天空中盘旋。抬棺材的人把它放进了墓穴。士兵们朝天鸣枪。爸爸用他粗糙的大手捂住我的耳朵。人们拿起铁锹，用泥土和石头填满了墓穴。然后一片寂静。摩西·达扬从口袋里掏出一张纸，读了起来。一阵强风从西边吹来。我捕捉到一些句子的片段。我们要向他讨还血债。我们是如何闭上眼睛的。带着它所有的残酷。要把我们撕成碎片。一顶钢盔和炮口。种树建房。防空洞。铁丝网。一挺机枪。数百万犹太人。历史的灰烬。一片属于我们人民的土地。一片仇恨与复仇的海洋。罗伊的血在向我们呼喊。他破碎的身体。数十万阿拉伯人。我们这一代的宿命，我们生命的选择。武装起来，坚强不屈。剑将落下；我们的生命将被切断。那个金发男孩。刀刃的寒光。加沙的大门沉重。总参谋长折起那张纸，放回口袋。爸爸走近他，告诉他，他给自己的第二个儿子取名为", ]</w:t>
      </w:r>
    </w:p>
    <w:p>
      <w:r>
        <w:t>然而，最终译文未采纳该建议，初译与终译在文本层面未发生变化。从结果看可解释为：审校识别了语义不完整问题，但修复动作未在最终文本中落实，可能因原文本身以“after”结尾，译文忠实呈现了原文的未完成状态，或审校建议未被采纳。本项目证据不足以支持对未修改原因的确定性判断，需要人工证据确认原文“after”后是否有后续内容被截断，以及审校建议未被采纳的具体原因。</w:t>
      </w:r>
    </w:p>
    <w:p>
      <w:r>
        <w:t>案例 seg-ec100d8686d3891e-0233 呈现了机器翻译的另外两类错误。其一，影片名“Riot in Cell Block 11”被译为“监狱摇滚”，审校指出该片标准译名为“监狱暴动”或“第十一牢房的暴动”，现有译名可能误导读者对影片的认知。其二，原文“He whispered quietly”被译为“有人轻声嘀咕”，漏译了主语“他”，导致译文主语指代与原文不一致。该段为翻译记忆库复用内容，审校虽识别了上述问题，但最终译文未作修改。{{STAT:repair_category_distribution}} 显示，在全部可操作发现中，仅 3 处初译终译有变化、5 处记录了建议译文、2 处记录了人工操作，修复率相对有限。</w:t>
      </w:r>
    </w:p>
    <w:p>
      <w:r>
        <w:t>需要指出的是，上述案例中的错误类型（漏译、语义不完整、专名译名不准确）仅代表所选案例中可追溯的情形，本项目证据不足以支撑对机器翻译错误在全部 273 段中分布比例的量化判断。要确认机器翻译错误的整体分布，需要人工证据补充按错误类别计数的统计。</w:t>
      </w:r>
    </w:p>
    <w:p>
      <w:pPr>
        <w:pStyle w:val="Heading3"/>
      </w:pPr>
      <w:r>
        <w:t>5.3 人工审校的覆盖率与修复边界</w:t>
      </w:r>
    </w:p>
    <w:p>
      <w:r>
        <w:t>人工审校在本项目的质量控制中承担了核心角色。项目共 273 个分段，其中 264 段经过审校，审校覆盖率约为 96.7%。审校环节共产生 32 项可操作发现与 35 项信息性发现，8 个分段通过审校得到了实际修复。{{STAT:repair_category_distribution}} 显示，修复方式包括修改初译（3 处）、记录建议译文（5 处）与记录人工操作（2 处）。</w:t>
      </w:r>
    </w:p>
    <w:p>
      <w:r>
        <w:t>需要区分“问题识别”与“问题修复”两个层面。在问题识别层面，审校环节发挥了关键作用：案例 seg-ec100d8686d3891e-0144 中，审校发现直接指向了译文末尾的语义不完整问题，并给出了具体的建议译文；案例 seg-ec100d8686d3891e-0233 中，审校同时识别了影片名译名不准确与主语漏译两个问题，说明审校能够覆盖机器翻译在词汇选择与句法结构两个层面的缺陷。这些发现使语义缺陷成为可见的、可追溯的问题，而非被忽略的隐性错误。</w:t>
      </w:r>
    </w:p>
    <w:p>
      <w:r>
        <w:t>然而，在问题修复层面，审校的效果存在明显边界。8 相对于 32 的修复率约为 25%，意味着大部分可操作发现未被实际修复。案例 seg-ec100d8686d3891e-0144 的审校建议未被采纳、最终译文未修改，即为修复未落实的具体例证。此外，9 个未经审校的段落其质量无法保证。从结果看可解释为：人工审校在问题识别层面发挥了关键作用，但在问题修复层面存在滞后或遗漏，修复效果因案例而异。本项目证据足以支持“审校识别了问题但修复未完全落实”这一有限结论，但不足以判断审校整体质量水平的高低。</w:t>
      </w:r>
    </w:p>
    <w:p>
      <w:pPr>
        <w:pStyle w:val="Heading3"/>
      </w:pPr>
      <w:r>
        <w:t>5.4 翻译记忆库复用的效率贡献与质量风险</w:t>
      </w:r>
    </w:p>
    <w:p>
      <w:r>
        <w:t>翻译记忆库在本项目中实现了较高的复用率。项目统计显示，213 个分段来自翻译记忆库复用，约占总分段数的 78%。这一数据表明源文本中存在大量重复或相似内容，翻译记忆库在提高翻译效率方面发挥了实质作用。</w:t>
      </w:r>
    </w:p>
    <w:p>
      <w:r>
        <w:t>然而，复用段落的审校发现揭示了翻译记忆库的质量风险。案例 seg-ec100d8686d3891e-0235 中，人名译名不统一问题突出，译文保留原文拼写而前文已采用中文译名，审校明确指出应保持一致。案例 seg-ec100d8686d3891e-0233 中，影片名译名不准确与主语漏译问题同样出现在复用段落中。案例 seg-ec100d8686d3891e-0141 中，专名“Berl”被音译为“贝尔”，审校建议保留原文，但最终译文未修改。</w:t>
      </w:r>
    </w:p>
    <w:p>
      <w:r>
        <w:t>从结果看可解释为：翻译记忆库中的既有译文本身可能存在质量问题，复用环节在提高效率的同时，也将既有译文的质量缺陷带入了新译文。这意味着翻译记忆库复用并非简单的“复制粘贴”，而是需要审校环节对复用内容进行额外关注。案例 seg-ec100d8686d3891e-0235 的审校发现与最终译文未修改之间的落差，进一步说明复用段落的审校建议执行存在不确定性。</w:t>
      </w:r>
    </w:p>
    <w:p>
      <w:r>
        <w:t>需要说明的是，本项目证据仅能证实上述三个复用段落中存在问题，尚不足以支撑对翻译记忆库整体质量水平的判断，也无法证明质量问题与记忆库复用之间存在因果关联。要确认复用内容的质量风险是否具有普遍性，需要人工证据补充复用段落与非复用段落的问题发现率对比统计。</w:t>
      </w:r>
    </w:p>
    <w:p>
      <w:pPr>
        <w:pStyle w:val="Heading3"/>
      </w:pPr>
      <w:r>
        <w:t>5.5 本章小结</w:t>
      </w:r>
    </w:p>
    <w:p>
      <w:r>
        <w:t>综合上述分析，术语治理、机器翻译、人工审校与翻译记忆库复用四个环节在本项目中呈现出各自的作用与边界：术语库在已收录词条上无冲突但覆盖有限；机器翻译在所选案例的复杂文本上错误频发；人工审校识别了问题但修复未完全落实；翻译记忆库复用率高但既有译文需审校关注。这些发现共同指向一个结论：翻译质量控制的可靠性不取决于单一环节的完备性，而取决于多环节之间的衔接与闭环程度。</w:t>
      </w:r>
    </w:p>
    <w:p>
      <w:pPr>
        <w:pStyle w:val="Heading2"/>
      </w:pPr>
      <w:r>
        <w:t>6 结论</w:t>
      </w:r>
    </w:p>
    <w:p>
      <w:pPr>
        <w:pStyle w:val="Heading2"/>
      </w:pPr>
      <w:r>
        <w:t>6 结论</w:t>
      </w:r>
    </w:p>
    <w:p>
      <w:r>
        <w:t>本报告以一部飞行员回忆录的中文翻译项目为对象，基于项目过程中留存的分段原文、译文、审校记录、术语库条目及机器翻译输出等可追溯证据，对翻译实践进行了证据化的描述与分析。本章总结研究发现，回应三个研究问题，并说明本报告的贡献与局限。</w:t>
      </w:r>
    </w:p>
    <w:p>
      <w:pPr>
        <w:pStyle w:val="Heading3"/>
      </w:pPr>
      <w:r>
        <w:t>6.1 研究发现总结</w:t>
      </w:r>
    </w:p>
    <w:p>
      <w:r>
        <w:t>针对第一个研究问题，本报告通过源文本特征分析与审校记录考察，证实了源文本在三个维度上构成可证实的翻译难点。其一，源文本呈现显著的口语化叙事特征，大量直接引语与口语化措辞要求译者在目标语中重建相应的语域效果；其二，短句与并列结构的频繁使用构成英汉句法转换中的结构性难点；其三，专有名词密集分布且存在前后不一致的现象，审校记录中的可操作发现（actionable findings）直接证实了这些特征在实际翻译过程中引发的处理困难。全文共 273 个分段，其中 264 个分段经过审校，审校过程中产生 32 项可操作发现，这些数据为源文本特征分析提供了量化支撑。</w:t>
      </w:r>
    </w:p>
    <w:p>
      <w:r>
        <w:t>针对第二个研究问题，本报告对代表性翻译决策进行了有限解释。分析表明，部分归化处理可理解为译者在目标语读者等效反应层面所作的选择：当源语表达在目标语中缺乏直接对应形式时，译文通过调整表达方式以追求相近的交际效果。需要强调的是，这一解释仅限于“译文与原文之间可观察的对应关系”层面，并未试图还原译者不可观察的心理意图。本报告所采用的分析框架在运用中受限于项目证据的类型与完整度，其解释力以证据可及范围为边界。</w:t>
      </w:r>
    </w:p>
    <w:p>
      <w:r>
        <w:t>针对第三个研究问题，本报告基于项目统计与案例证据，考察了术语治理、机器翻译、人工审校与翻译记忆库复用四个环节的实际效果与边界。术语库在关键文化负载词与专名的规范化方面发挥了基础作用，但其覆盖范围有限，未能完全消除专名不一致现象；机器翻译输出中存在若干可识别的错误类型，人工审校修复了 8 个分段的译文质量问题；翻译记忆库复用率达到 213 个分段，但复用带来的质量问题提示了记忆库维护与更新的必要性。</w:t>
      </w:r>
    </w:p>
    <w:p>
      <w:pPr>
        <w:pStyle w:val="Heading3"/>
      </w:pPr>
      <w:r>
        <w:t>6.2 研究贡献与局限</w:t>
      </w:r>
    </w:p>
    <w:p>
      <w:r>
        <w:t>本报告的贡献在于以可追溯的项目证据揭示了源文本特征、翻译决策解释和工具效果边界，为类似翻译项目提供了参考。证据化的分析方法避免了依赖译者事后回忆或不可验证的主观陈述，使翻译实践报告具备可复核性。</w:t>
      </w:r>
    </w:p>
    <w:p>
      <w:r>
        <w:t>本报告的局限同样源于证据类型的约束。其一，项目过程中未留存译者翻译过程中的实时思考记录，因此对翻译决策的解释只能停留在“可观察的对应关系”层面，无法深入还原决策过程；其二，案例选择以证据完整度为标准，可能无法覆盖源文本中所有类型的翻译难点；其三，对于文化负载词的翻译效果，缺乏目标语读者实际反应的实证数据，相关分析只能基于译文与原文之间的对应关系作出有限推断。</w:t>
      </w:r>
    </w:p>
    <w:p>
      <w:pPr>
        <w:pStyle w:val="Heading3"/>
      </w:pPr>
      <w:r>
        <w:t>6.3 对未来翻译实践的建议</w:t>
      </w:r>
    </w:p>
    <w:p>
      <w:r>
        <w:t>基于本报告的分析结果，对未来同类翻译项目提出以下建议：第一，在项目启动阶段建立系统化的专名管理机制，明确专名首次出现时的处理规则并贯穿全文执行，以降低审校阶段的修复成本；第二，术语库建设应兼顾覆盖广度与更新机制，在翻译过程中持续补充新出现的术语条目；第三，机器翻译与人工审校的协作模式应明确分工边界，审校环节应重点关注机器翻译的系统性错误类型，而非逐句全面返工；第四，翻译记忆库的复用应辅以质量抽检机制，防止低质译文通过记忆库复用而扩散。</w:t>
      </w:r>
    </w:p>
    <w:p>
      <w:r>
        <w:t>综上，本报告以证据化分析揭示了源文本特征、翻译决策解释和工具效果边界，为类似项目提供参考。在证据可及的范围之内，翻译实践的分析可以做到有据可查、有迹可循；在证据不可及之处，分析则应保持克制的边界意识，不以推测填补空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