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BEA0C" w14:textId="77777777" w:rsidR="00A74291" w:rsidRPr="00A74291" w:rsidRDefault="00A74291" w:rsidP="00A74291">
      <w:pPr>
        <w:rPr>
          <w:b/>
          <w:bCs/>
        </w:rPr>
      </w:pPr>
      <w:r w:rsidRPr="00A74291">
        <w:rPr>
          <w:rFonts w:ascii="Segoe UI Emoji" w:hAnsi="Segoe UI Emoji" w:cs="Segoe UI Emoji"/>
          <w:b/>
          <w:bCs/>
        </w:rPr>
        <w:t>🔍</w:t>
      </w:r>
      <w:r w:rsidRPr="00A74291">
        <w:rPr>
          <w:b/>
          <w:bCs/>
        </w:rPr>
        <w:t xml:space="preserve"> 基金资源配置的核心原理</w:t>
      </w:r>
    </w:p>
    <w:p w14:paraId="2EAE8AFA" w14:textId="77777777" w:rsidR="00A74291" w:rsidRPr="00A74291" w:rsidRDefault="00A74291" w:rsidP="00A74291">
      <w:pPr>
        <w:rPr>
          <w:b/>
          <w:bCs/>
        </w:rPr>
      </w:pPr>
      <w:r w:rsidRPr="00A74291">
        <w:rPr>
          <w:b/>
          <w:bCs/>
        </w:rPr>
        <w:t>1. 分散投资与风险控制</w:t>
      </w:r>
    </w:p>
    <w:p w14:paraId="791670A2" w14:textId="77777777" w:rsidR="00A74291" w:rsidRPr="00A74291" w:rsidRDefault="00A74291" w:rsidP="00A74291">
      <w:r w:rsidRPr="00A74291">
        <w:t>基金资产配置的核心在于通过分散投资，降低整体组合的波动性和风险不同资产类别（如股票、债券、货币市场工具等）在市场表现上往往存在差异，通过合理配置，可以在不同市场环境下实现收益的稳健增长</w:t>
      </w:r>
    </w:p>
    <w:p w14:paraId="6CEBF28E" w14:textId="77777777" w:rsidR="00A74291" w:rsidRPr="00A74291" w:rsidRDefault="00A74291" w:rsidP="00A74291">
      <w:pPr>
        <w:rPr>
          <w:b/>
          <w:bCs/>
        </w:rPr>
      </w:pPr>
      <w:r w:rsidRPr="00A74291">
        <w:rPr>
          <w:b/>
          <w:bCs/>
        </w:rPr>
        <w:t>2. “核心-卫星”策略</w:t>
      </w:r>
    </w:p>
    <w:p w14:paraId="32C52D98" w14:textId="77777777" w:rsidR="00A74291" w:rsidRPr="00A74291" w:rsidRDefault="00A74291" w:rsidP="00A74291">
      <w:r w:rsidRPr="00A74291">
        <w:t>该策略将投资组合分为“核心资产”和“卫星资产”两部分</w:t>
      </w:r>
    </w:p>
    <w:p w14:paraId="5172EB5F" w14:textId="77777777" w:rsidR="00A74291" w:rsidRPr="00A74291" w:rsidRDefault="00A74291" w:rsidP="00A74291">
      <w:pPr>
        <w:numPr>
          <w:ilvl w:val="0"/>
          <w:numId w:val="1"/>
        </w:numPr>
      </w:pPr>
      <w:r w:rsidRPr="00A74291">
        <w:rPr>
          <w:b/>
          <w:bCs/>
        </w:rPr>
        <w:t>核心资产</w:t>
      </w:r>
      <w:r w:rsidRPr="00A74291">
        <w:t>占比约60%~90%，选择风险较低、收益稳定的基金，如债券基金、</w:t>
      </w:r>
      <w:proofErr w:type="gramStart"/>
      <w:r w:rsidRPr="00A74291">
        <w:t>宽基指数</w:t>
      </w:r>
      <w:proofErr w:type="gramEnd"/>
      <w:r w:rsidRPr="00A74291">
        <w:t>基金等，作为组合的基础</w:t>
      </w:r>
    </w:p>
    <w:p w14:paraId="40BC7C78" w14:textId="11DD5A34" w:rsidR="00A74291" w:rsidRPr="00A74291" w:rsidRDefault="00A74291" w:rsidP="00A74291">
      <w:pPr>
        <w:numPr>
          <w:ilvl w:val="0"/>
          <w:numId w:val="1"/>
        </w:numPr>
      </w:pPr>
      <w:r w:rsidRPr="00A74291">
        <w:rPr>
          <w:b/>
          <w:bCs/>
        </w:rPr>
        <w:t>卫星资产</w:t>
      </w:r>
      <w:r w:rsidRPr="00A74291">
        <w:t xml:space="preserve">占比约10%~40%，选择具有高增长潜力的基金，如行业主题基金、主动管理型基金等，用于追求超额收益 这种策略有助于在控制风险的同时，捕捉市场机会 </w:t>
      </w:r>
    </w:p>
    <w:p w14:paraId="19FFE315" w14:textId="77777777" w:rsidR="00A74291" w:rsidRPr="00A74291" w:rsidRDefault="00A74291" w:rsidP="00A74291">
      <w:pPr>
        <w:rPr>
          <w:b/>
          <w:bCs/>
        </w:rPr>
      </w:pPr>
      <w:r w:rsidRPr="00A74291">
        <w:rPr>
          <w:b/>
          <w:bCs/>
        </w:rPr>
        <w:t>3. 风险承受能力与配置比例</w:t>
      </w:r>
    </w:p>
    <w:p w14:paraId="08B76E28" w14:textId="77777777" w:rsidR="00A74291" w:rsidRPr="00A74291" w:rsidRDefault="00A74291" w:rsidP="00A74291">
      <w:r w:rsidRPr="00A74291">
        <w:t>根据投资者的风险承受能力，配置比例应有所调整</w:t>
      </w:r>
    </w:p>
    <w:p w14:paraId="000999A0" w14:textId="77777777" w:rsidR="00A74291" w:rsidRPr="00A74291" w:rsidRDefault="00A74291" w:rsidP="00A74291">
      <w:pPr>
        <w:numPr>
          <w:ilvl w:val="0"/>
          <w:numId w:val="2"/>
        </w:numPr>
      </w:pPr>
      <w:r w:rsidRPr="00A74291">
        <w:rPr>
          <w:b/>
          <w:bCs/>
        </w:rPr>
        <w:t>保守型投资者</w:t>
      </w:r>
      <w:r w:rsidRPr="00A74291">
        <w:t>核心资产占比可达80%~90%，卫星资产占比10%~20%</w:t>
      </w:r>
    </w:p>
    <w:p w14:paraId="0B573F3C" w14:textId="77777777" w:rsidR="00A74291" w:rsidRPr="00A74291" w:rsidRDefault="00A74291" w:rsidP="00A74291">
      <w:pPr>
        <w:numPr>
          <w:ilvl w:val="0"/>
          <w:numId w:val="2"/>
        </w:numPr>
      </w:pPr>
      <w:r w:rsidRPr="00A74291">
        <w:rPr>
          <w:b/>
          <w:bCs/>
        </w:rPr>
        <w:t>平衡型投资者</w:t>
      </w:r>
      <w:r w:rsidRPr="00A74291">
        <w:t>核心资产占比约70%，卫星资产占比30%</w:t>
      </w:r>
    </w:p>
    <w:p w14:paraId="2D218571" w14:textId="51FA7EC0" w:rsidR="00A74291" w:rsidRPr="00A74291" w:rsidRDefault="00A74291" w:rsidP="00A74291">
      <w:pPr>
        <w:numPr>
          <w:ilvl w:val="0"/>
          <w:numId w:val="2"/>
        </w:numPr>
      </w:pPr>
      <w:r w:rsidRPr="00A74291">
        <w:rPr>
          <w:b/>
          <w:bCs/>
        </w:rPr>
        <w:t>进取型投资者</w:t>
      </w:r>
      <w:r w:rsidRPr="00A74291">
        <w:t>核心资产占比约60%，卫星资产占比40% 通过调整配置比例，投资者可以在风险与收益之间找到适合自己的平衡点</w:t>
      </w:r>
    </w:p>
    <w:p w14:paraId="7A08FA5C" w14:textId="77777777" w:rsidR="00A74291" w:rsidRPr="00A74291" w:rsidRDefault="00A74291" w:rsidP="00A74291">
      <w:r w:rsidRPr="00A74291">
        <w:pict w14:anchorId="6CDEA54A">
          <v:rect id="_x0000_i1050" style="width:0;height:1.5pt" o:hralign="center" o:hrstd="t" o:hr="t" fillcolor="#a0a0a0" stroked="f"/>
        </w:pict>
      </w:r>
    </w:p>
    <w:p w14:paraId="45799FE5" w14:textId="77777777" w:rsidR="00A74291" w:rsidRPr="00A74291" w:rsidRDefault="00A74291" w:rsidP="00A74291">
      <w:pPr>
        <w:rPr>
          <w:b/>
          <w:bCs/>
        </w:rPr>
      </w:pPr>
      <w:r w:rsidRPr="00A74291">
        <w:rPr>
          <w:rFonts w:ascii="Segoe UI Symbol" w:hAnsi="Segoe UI Symbol" w:cs="Segoe UI Symbol"/>
          <w:b/>
          <w:bCs/>
        </w:rPr>
        <w:t>🛠</w:t>
      </w:r>
      <w:r w:rsidRPr="00A74291">
        <w:rPr>
          <w:b/>
          <w:bCs/>
        </w:rPr>
        <w:t xml:space="preserve"> 实践操作指南</w:t>
      </w:r>
    </w:p>
    <w:p w14:paraId="65F7F36C" w14:textId="77777777" w:rsidR="00A74291" w:rsidRPr="00A74291" w:rsidRDefault="00A74291" w:rsidP="00A74291">
      <w:pPr>
        <w:rPr>
          <w:b/>
          <w:bCs/>
        </w:rPr>
      </w:pPr>
      <w:r w:rsidRPr="00A74291">
        <w:rPr>
          <w:b/>
          <w:bCs/>
        </w:rPr>
        <w:t>1. 明确投资目标与期限</w:t>
      </w:r>
    </w:p>
    <w:p w14:paraId="74427144" w14:textId="77777777" w:rsidR="00A74291" w:rsidRPr="00A74291" w:rsidRDefault="00A74291" w:rsidP="00A74291">
      <w:r w:rsidRPr="00A74291">
        <w:t>在进行资产配置前，需明确投资的目标（如退休、购房、教育等）和投资期限，以便选择合适的基金类型和配置比。</w:t>
      </w:r>
    </w:p>
    <w:p w14:paraId="34002149" w14:textId="77777777" w:rsidR="00A74291" w:rsidRPr="00A74291" w:rsidRDefault="00A74291" w:rsidP="00A74291">
      <w:pPr>
        <w:rPr>
          <w:b/>
          <w:bCs/>
        </w:rPr>
      </w:pPr>
      <w:r w:rsidRPr="00A74291">
        <w:rPr>
          <w:b/>
          <w:bCs/>
        </w:rPr>
        <w:t>2. 选择合适的基金产品</w:t>
      </w:r>
    </w:p>
    <w:p w14:paraId="0409B06F" w14:textId="73DA372F" w:rsidR="00A74291" w:rsidRPr="00A74291" w:rsidRDefault="00A74291" w:rsidP="00A74291">
      <w:pPr>
        <w:numPr>
          <w:ilvl w:val="0"/>
          <w:numId w:val="3"/>
        </w:numPr>
      </w:pPr>
      <w:r w:rsidRPr="00A74291">
        <w:rPr>
          <w:i/>
          <w:iCs/>
        </w:rPr>
        <w:t>核心资产选择</w:t>
      </w:r>
      <w:r w:rsidRPr="00A74291">
        <w:t>：可考虑债券基金、货币市场基金、</w:t>
      </w:r>
      <w:proofErr w:type="gramStart"/>
      <w:r w:rsidRPr="00A74291">
        <w:t>宽基指数</w:t>
      </w:r>
      <w:proofErr w:type="gramEnd"/>
      <w:r w:rsidRPr="00A74291">
        <w:t>基金。</w:t>
      </w:r>
    </w:p>
    <w:p w14:paraId="02C24DAC" w14:textId="1583EC0E" w:rsidR="00A74291" w:rsidRPr="00A74291" w:rsidRDefault="00A74291" w:rsidP="00A74291">
      <w:pPr>
        <w:numPr>
          <w:ilvl w:val="0"/>
          <w:numId w:val="3"/>
        </w:numPr>
      </w:pPr>
      <w:r w:rsidRPr="00A74291">
        <w:rPr>
          <w:i/>
          <w:iCs/>
        </w:rPr>
        <w:t>卫星资产选择</w:t>
      </w:r>
      <w:r w:rsidRPr="00A74291">
        <w:t>：可考虑行业主题基金、主动管理型基金、QDII基金。 选择基金时，应关注基金的历史业绩、基金经理的管理能力、基金的费用结构等因。</w:t>
      </w:r>
    </w:p>
    <w:p w14:paraId="732A6D90" w14:textId="77777777" w:rsidR="00A74291" w:rsidRPr="00A74291" w:rsidRDefault="00A74291" w:rsidP="00A74291">
      <w:pPr>
        <w:rPr>
          <w:b/>
          <w:bCs/>
        </w:rPr>
      </w:pPr>
      <w:r w:rsidRPr="00A74291">
        <w:rPr>
          <w:b/>
          <w:bCs/>
        </w:rPr>
        <w:lastRenderedPageBreak/>
        <w:t>3. 定期评估与调整</w:t>
      </w:r>
    </w:p>
    <w:p w14:paraId="3DBA225A" w14:textId="77777777" w:rsidR="00A74291" w:rsidRPr="00A74291" w:rsidRDefault="00A74291" w:rsidP="00A74291">
      <w:r w:rsidRPr="00A74291">
        <w:t>市场环境和个人情况的变化可能影响资产配置的效果，因此应定期（如每季度或每年）评估投资组合的表现，并根据需要进行调。</w:t>
      </w:r>
    </w:p>
    <w:p w14:paraId="28C4BCF9" w14:textId="77777777" w:rsidR="00A74291" w:rsidRPr="00A74291" w:rsidRDefault="00A74291" w:rsidP="00A74291">
      <w:r w:rsidRPr="00A74291">
        <w:pict w14:anchorId="3477F61A">
          <v:rect id="_x0000_i1051" style="width:0;height:1.5pt" o:hralign="center" o:hrstd="t" o:hr="t" fillcolor="#a0a0a0" stroked="f"/>
        </w:pict>
      </w:r>
    </w:p>
    <w:p w14:paraId="2D14AF13" w14:textId="77777777" w:rsidR="000F64D6" w:rsidRDefault="000F64D6" w:rsidP="000F64D6">
      <w:pPr>
        <w:pStyle w:val="a3"/>
        <w:jc w:val="left"/>
      </w:pPr>
    </w:p>
    <w:p w14:paraId="06967616" w14:textId="0C86DE8E" w:rsidR="000F64D6" w:rsidRDefault="000F64D6" w:rsidP="003C632D">
      <w:pPr>
        <w:pStyle w:val="2"/>
        <w:rPr>
          <w:rFonts w:hint="eastAsia"/>
        </w:rPr>
      </w:pPr>
      <w:r>
        <w:rPr>
          <w:rFonts w:hint="eastAsia"/>
        </w:rPr>
        <w:t>实践出真知：基金投资实用手册</w:t>
      </w:r>
    </w:p>
    <w:p w14:paraId="062BE628" w14:textId="3E12FAC7" w:rsidR="000F64D6" w:rsidRDefault="000F64D6" w:rsidP="000F64D6">
      <w:pPr>
        <w:rPr>
          <w:rFonts w:hint="eastAsia"/>
        </w:rPr>
      </w:pPr>
      <w:r>
        <w:rPr>
          <w:rFonts w:hint="eastAsia"/>
        </w:rPr>
        <w:t>择时难、</w:t>
      </w:r>
      <w:proofErr w:type="gramStart"/>
      <w:r>
        <w:rPr>
          <w:rFonts w:hint="eastAsia"/>
        </w:rPr>
        <w:t>选基难</w:t>
      </w:r>
      <w:proofErr w:type="gramEnd"/>
      <w:r>
        <w:rPr>
          <w:rFonts w:hint="eastAsia"/>
        </w:rPr>
        <w:t>，是导致投资者基金投资体验不佳的主要原</w:t>
      </w:r>
      <w:r>
        <w:rPr>
          <w:rFonts w:hint="eastAsia"/>
        </w:rPr>
        <w:t>因。这里</w:t>
      </w:r>
      <w:r>
        <w:rPr>
          <w:rFonts w:hint="eastAsia"/>
        </w:rPr>
        <w:t>将从投资纪律、适合投资者一键实现资产配置的投资产品，以及实用的基金筛选工具三方面，在有限篇幅内为投资者总结了一份相对容易上手操作的 “实用小手册”。</w:t>
      </w:r>
    </w:p>
    <w:p w14:paraId="5D2937B0" w14:textId="0D8D3C4E" w:rsidR="000F64D6" w:rsidRDefault="000F64D6" w:rsidP="000F64D6">
      <w:pPr>
        <w:pStyle w:val="3"/>
        <w:rPr>
          <w:rFonts w:hint="eastAsia"/>
        </w:rPr>
      </w:pPr>
      <w:r>
        <w:rPr>
          <w:rFonts w:hint="eastAsia"/>
        </w:rPr>
        <w:t>关于投资的困惑</w:t>
      </w:r>
    </w:p>
    <w:p w14:paraId="6A6F5E94" w14:textId="77777777" w:rsidR="000F64D6" w:rsidRDefault="000F64D6" w:rsidP="000F64D6">
      <w:pPr>
        <w:rPr>
          <w:rFonts w:hint="eastAsia"/>
        </w:rPr>
      </w:pPr>
      <w:r>
        <w:rPr>
          <w:rFonts w:hint="eastAsia"/>
        </w:rPr>
        <w:t>当代 “养基人士” 近期最大的困惑一定是：当前的市场趋势下，我到底该不该 “上车”？随着近两年市场大涨才纷纷入市的 90 后、95 后的年轻投资者们，可能对于市场风险的感知尚不深刻；但那些久经 A 股考验的资深股民或基民朋友，在经历过 08 年、15 年甚至 18 年</w:t>
      </w:r>
      <w:proofErr w:type="gramStart"/>
      <w:r>
        <w:rPr>
          <w:rFonts w:hint="eastAsia"/>
        </w:rPr>
        <w:t>的巨震后</w:t>
      </w:r>
      <w:proofErr w:type="gramEnd"/>
      <w:r>
        <w:rPr>
          <w:rFonts w:hint="eastAsia"/>
        </w:rPr>
        <w:t>，想必对市场都怀有敬畏之心。</w:t>
      </w:r>
    </w:p>
    <w:p w14:paraId="1944FC60" w14:textId="77777777" w:rsidR="000F64D6" w:rsidRDefault="000F64D6" w:rsidP="000F64D6">
      <w:pPr>
        <w:rPr>
          <w:rFonts w:hint="eastAsia"/>
        </w:rPr>
      </w:pPr>
      <w:proofErr w:type="gramStart"/>
      <w:r>
        <w:rPr>
          <w:rFonts w:hint="eastAsia"/>
        </w:rPr>
        <w:t>股神巴菲特</w:t>
      </w:r>
      <w:proofErr w:type="gramEnd"/>
      <w:r>
        <w:rPr>
          <w:rFonts w:hint="eastAsia"/>
        </w:rPr>
        <w:t>说，“如果你不愿意持有一只股票 10 年，那就 1 分钟也不要持有它”，对于这段被价值投资视为 “圣经” 的经典语录，我们也可以从另一个角度进行理解 —— 即便是 “火眼金睛” 的股神，在选择买入后，面对跌宕起伏的资本市场，仍需要经受时间的考验。没有人可以准确地预测出明天或下个月的股价，唯一可以确认的只有股价会不断波动。</w:t>
      </w:r>
    </w:p>
    <w:p w14:paraId="43E6974C" w14:textId="77777777" w:rsidR="000F64D6" w:rsidRDefault="000F64D6" w:rsidP="000F64D6">
      <w:pPr>
        <w:rPr>
          <w:rFonts w:hint="eastAsia"/>
        </w:rPr>
      </w:pPr>
      <w:r>
        <w:rPr>
          <w:rFonts w:hint="eastAsia"/>
        </w:rPr>
        <w:t>但对于人们来说，亏损所带来的痛苦远比等量的收益所带来的快乐要大得多。所以一遇到市场价格大幅下跌，投资者的本能反应就是恐慌。</w:t>
      </w:r>
    </w:p>
    <w:p w14:paraId="41681220" w14:textId="77777777" w:rsidR="000F64D6" w:rsidRDefault="000F64D6" w:rsidP="000F64D6">
      <w:pPr>
        <w:rPr>
          <w:rFonts w:hint="eastAsia"/>
        </w:rPr>
      </w:pPr>
      <w:r>
        <w:rPr>
          <w:rFonts w:hint="eastAsia"/>
        </w:rPr>
        <w:t>然而，硬币的反面也告诉我们，市场波动同时也意味着投资机会：市场动荡之后往往意味着较低的资产价格，更有投资价值。晨星对美国基金投资者收益的研究发现，在 2008 - 2009 金融危机最低价时卖出、等到一年后再重新买入的投资者，收益远不及那些一直持有的人。所以我们认为，在市场动荡时最重要的其实是按兵不动，切实的遵守你的投资计划、采取长期投资的策略，在下跌中抛售持仓并不是好的选择。</w:t>
      </w:r>
    </w:p>
    <w:p w14:paraId="2A3CE85D" w14:textId="77777777" w:rsidR="000F64D6" w:rsidRDefault="000F64D6" w:rsidP="000F64D6">
      <w:pPr>
        <w:rPr>
          <w:rFonts w:hint="eastAsia"/>
        </w:rPr>
      </w:pPr>
      <w:r>
        <w:rPr>
          <w:rFonts w:hint="eastAsia"/>
        </w:rPr>
        <w:t>长期投资、控制风险，这似乎是过去几十年来资本市场的赢家给投资者留下的制胜法宝，于是伴随着中国基金行业的发展，</w:t>
      </w:r>
      <w:proofErr w:type="gramStart"/>
      <w:r>
        <w:rPr>
          <w:rFonts w:hint="eastAsia"/>
        </w:rPr>
        <w:t>基金定投也</w:t>
      </w:r>
      <w:proofErr w:type="gramEnd"/>
      <w:r>
        <w:rPr>
          <w:rFonts w:hint="eastAsia"/>
        </w:rPr>
        <w:t>在中国日益深入人心。</w:t>
      </w:r>
    </w:p>
    <w:p w14:paraId="7DAAFE97" w14:textId="77777777" w:rsidR="000F64D6" w:rsidRDefault="000F64D6" w:rsidP="000F64D6">
      <w:pPr>
        <w:rPr>
          <w:rFonts w:hint="eastAsia"/>
        </w:rPr>
      </w:pPr>
    </w:p>
    <w:p w14:paraId="1822E9B0" w14:textId="792B7FC7" w:rsidR="000F64D6" w:rsidRDefault="000F64D6" w:rsidP="000F64D6">
      <w:pPr>
        <w:pStyle w:val="3"/>
        <w:rPr>
          <w:rFonts w:hint="eastAsia"/>
        </w:rPr>
      </w:pPr>
      <w:r>
        <w:rPr>
          <w:rFonts w:hint="eastAsia"/>
        </w:rPr>
        <w:lastRenderedPageBreak/>
        <w:t>定期定额与智能定投</w:t>
      </w:r>
    </w:p>
    <w:p w14:paraId="547D7877" w14:textId="77777777" w:rsidR="000F64D6" w:rsidRDefault="000F64D6" w:rsidP="000F64D6">
      <w:pPr>
        <w:rPr>
          <w:rFonts w:hint="eastAsia"/>
        </w:rPr>
      </w:pPr>
      <w:r>
        <w:rPr>
          <w:rFonts w:hint="eastAsia"/>
        </w:rPr>
        <w:t>定期定额是早期</w:t>
      </w:r>
      <w:proofErr w:type="gramStart"/>
      <w:r>
        <w:rPr>
          <w:rFonts w:hint="eastAsia"/>
        </w:rPr>
        <w:t>基金定投的</w:t>
      </w:r>
      <w:proofErr w:type="gramEnd"/>
      <w:r>
        <w:rPr>
          <w:rFonts w:hint="eastAsia"/>
        </w:rPr>
        <w:t>普遍方式，其特征是选择固定的时间持续投入固定金额，以期达到：1、平滑市场短期波动，降低风险；2、通过复利效应达到积少成多的效果；3、无需考虑市场波动及进场时间。</w:t>
      </w:r>
    </w:p>
    <w:p w14:paraId="429393FB" w14:textId="6BB317E8" w:rsidR="000F64D6" w:rsidRDefault="000F64D6" w:rsidP="000F64D6">
      <w:pPr>
        <w:rPr>
          <w:rFonts w:hint="eastAsia"/>
        </w:rPr>
      </w:pPr>
      <w:r>
        <w:rPr>
          <w:rFonts w:hint="eastAsia"/>
        </w:rPr>
        <w:t>因此，定期定额看起来是一种 “最笨” 的投资方式。但即便如此，若投资者从 2015 年牛市的高点开始入场，过去五年多的投资收益也</w:t>
      </w:r>
      <w:proofErr w:type="gramStart"/>
      <w:r>
        <w:rPr>
          <w:rFonts w:hint="eastAsia"/>
        </w:rPr>
        <w:t>远远跑</w:t>
      </w:r>
      <w:proofErr w:type="gramEnd"/>
      <w:r>
        <w:rPr>
          <w:rFonts w:hint="eastAsia"/>
        </w:rPr>
        <w:t>赢了同期指数的收益。</w:t>
      </w:r>
    </w:p>
    <w:p w14:paraId="66B02232" w14:textId="0226F570" w:rsidR="000F64D6" w:rsidRDefault="000F64D6" w:rsidP="000F64D6">
      <w:pPr>
        <w:rPr>
          <w:rFonts w:hint="eastAsia"/>
        </w:rPr>
      </w:pPr>
      <w:r>
        <w:rPr>
          <w:rFonts w:hint="eastAsia"/>
        </w:rPr>
        <w:t>与</w:t>
      </w:r>
      <w:proofErr w:type="gramStart"/>
      <w:r>
        <w:rPr>
          <w:rFonts w:hint="eastAsia"/>
        </w:rPr>
        <w:t>智能定投相比</w:t>
      </w:r>
      <w:proofErr w:type="gramEnd"/>
      <w:r>
        <w:rPr>
          <w:rFonts w:hint="eastAsia"/>
        </w:rPr>
        <w:t>，定期定额具有以下优势：1、</w:t>
      </w:r>
      <w:proofErr w:type="gramStart"/>
      <w:r>
        <w:rPr>
          <w:rFonts w:hint="eastAsia"/>
        </w:rPr>
        <w:t>每个定投</w:t>
      </w:r>
      <w:proofErr w:type="gramEnd"/>
      <w:r>
        <w:rPr>
          <w:rFonts w:hint="eastAsia"/>
        </w:rPr>
        <w:t>周期所需资金固定，便于投资者作预算开支；2、对短期的市场波动持 “中立” 态度，可以避免由于加速下跌中采用均线系统加仓的智能</w:t>
      </w:r>
      <w:proofErr w:type="gramStart"/>
      <w:r>
        <w:rPr>
          <w:rFonts w:hint="eastAsia"/>
        </w:rPr>
        <w:t>定投带来</w:t>
      </w:r>
      <w:proofErr w:type="gramEnd"/>
      <w:r>
        <w:rPr>
          <w:rFonts w:hint="eastAsia"/>
        </w:rPr>
        <w:t>的更多亏损，或是在上涨过程中采用趋势</w:t>
      </w:r>
      <w:proofErr w:type="gramStart"/>
      <w:r>
        <w:rPr>
          <w:rFonts w:hint="eastAsia"/>
        </w:rPr>
        <w:t>定投带来</w:t>
      </w:r>
      <w:proofErr w:type="gramEnd"/>
      <w:r>
        <w:rPr>
          <w:rFonts w:hint="eastAsia"/>
        </w:rPr>
        <w:t>的成本上升</w:t>
      </w:r>
    </w:p>
    <w:p w14:paraId="0E1CD034" w14:textId="2BA276F2" w:rsidR="000F64D6" w:rsidRDefault="000F64D6" w:rsidP="000F64D6">
      <w:pPr>
        <w:pStyle w:val="3"/>
        <w:rPr>
          <w:rFonts w:hint="eastAsia"/>
        </w:rPr>
      </w:pPr>
      <w:proofErr w:type="gramStart"/>
      <w:r>
        <w:rPr>
          <w:rFonts w:hint="eastAsia"/>
        </w:rPr>
        <w:t>智能定投的</w:t>
      </w:r>
      <w:proofErr w:type="gramEnd"/>
      <w:r>
        <w:rPr>
          <w:rFonts w:hint="eastAsia"/>
        </w:rPr>
        <w:t>三种方式</w:t>
      </w:r>
    </w:p>
    <w:p w14:paraId="7BC2BF55" w14:textId="59267136" w:rsidR="000F64D6" w:rsidRDefault="000F64D6" w:rsidP="000F64D6">
      <w:pPr>
        <w:rPr>
          <w:rFonts w:hint="eastAsia"/>
        </w:rPr>
      </w:pPr>
      <w:r>
        <w:rPr>
          <w:rFonts w:hint="eastAsia"/>
        </w:rPr>
        <w:t>相对于定期定额的 “中立投资哲学”，目前市场上的智能定投在长期投资的基础上，融入了特定的投资哲学和投资偏好，由于对短期市场的风险承受能力不同，采取的操作策略也千差万别。</w:t>
      </w:r>
    </w:p>
    <w:p w14:paraId="3AC0EB96" w14:textId="024B9957" w:rsidR="000F64D6" w:rsidRDefault="000F64D6" w:rsidP="000F64D6">
      <w:pPr>
        <w:rPr>
          <w:rFonts w:hint="eastAsia"/>
        </w:rPr>
      </w:pPr>
      <w:r w:rsidRPr="000F64D6">
        <w:rPr>
          <w:rStyle w:val="af4"/>
          <w:rFonts w:hint="eastAsia"/>
        </w:rPr>
        <w:t>左侧</w:t>
      </w:r>
      <w:proofErr w:type="gramStart"/>
      <w:r w:rsidRPr="000F64D6">
        <w:rPr>
          <w:rStyle w:val="af4"/>
          <w:rFonts w:hint="eastAsia"/>
        </w:rPr>
        <w:t>交易定投</w:t>
      </w:r>
      <w:proofErr w:type="gramEnd"/>
      <w:r>
        <w:rPr>
          <w:rFonts w:hint="eastAsia"/>
        </w:rPr>
        <w:t xml:space="preserve"> ：信奉左侧交易的投资者，在看好长期市场的前提下，认为市场越跌越有机会，于是他们愿意接受 “越跌越买，越涨少买” </w:t>
      </w:r>
      <w:proofErr w:type="gramStart"/>
      <w:r>
        <w:rPr>
          <w:rFonts w:hint="eastAsia"/>
        </w:rPr>
        <w:t>的定投方式</w:t>
      </w:r>
      <w:proofErr w:type="gramEnd"/>
      <w:r>
        <w:rPr>
          <w:rFonts w:hint="eastAsia"/>
        </w:rPr>
        <w:t>。投资者根据自己的投资偏好和风险承受能力，选定参照指数、均线、级差，到了扣款日时，系统在对比当前市场和参照系数的基础上，确定不同额度</w:t>
      </w:r>
      <w:proofErr w:type="gramStart"/>
      <w:r>
        <w:rPr>
          <w:rFonts w:hint="eastAsia"/>
        </w:rPr>
        <w:t>的定投金额</w:t>
      </w:r>
      <w:proofErr w:type="gramEnd"/>
      <w:r>
        <w:rPr>
          <w:rFonts w:hint="eastAsia"/>
        </w:rPr>
        <w:t>。</w:t>
      </w:r>
      <w:proofErr w:type="gramStart"/>
      <w:r>
        <w:rPr>
          <w:rFonts w:hint="eastAsia"/>
        </w:rPr>
        <w:t>该种定投的</w:t>
      </w:r>
      <w:proofErr w:type="gramEnd"/>
      <w:r>
        <w:rPr>
          <w:rFonts w:hint="eastAsia"/>
        </w:rPr>
        <w:t>好处在于，在长期市场向好的情形下，可以在一定程度上降低投资成本，但是如果短期市场持续下挫，投资者可能要忍受更多的账面亏损。所以，左侧交易适合于风险承受力强、对资金流动性要求不是特别高的投资者。</w:t>
      </w:r>
    </w:p>
    <w:p w14:paraId="196FD4C7" w14:textId="2B3A9AA6" w:rsidR="000F64D6" w:rsidRDefault="000F64D6" w:rsidP="000F64D6">
      <w:pPr>
        <w:rPr>
          <w:rFonts w:hint="eastAsia"/>
        </w:rPr>
      </w:pPr>
      <w:r w:rsidRPr="000F64D6">
        <w:rPr>
          <w:rStyle w:val="af4"/>
          <w:rFonts w:hint="eastAsia"/>
        </w:rPr>
        <w:t>右侧</w:t>
      </w:r>
      <w:proofErr w:type="gramStart"/>
      <w:r w:rsidRPr="000F64D6">
        <w:rPr>
          <w:rStyle w:val="af4"/>
          <w:rFonts w:hint="eastAsia"/>
        </w:rPr>
        <w:t>交易定投</w:t>
      </w:r>
      <w:proofErr w:type="gramEnd"/>
      <w:r>
        <w:rPr>
          <w:rFonts w:hint="eastAsia"/>
        </w:rPr>
        <w:t xml:space="preserve"> ：倘若投资者自身惧怕短期风险，很难忍受账面大幅亏损，那么或许确定趋势后的 “越涨越买，越跌越卖” 的 “右侧交易” 更加适合你。根据道氏理论，股票的变化表现为三种趋势：主要趋势、中期趋势及短期趋势。一旦各类技术指标确认了主要趋势，行情将持续一年或以上，大部分股票将随大市上升或下跌，幅度一般超过 20%。虽然道氏理论常常因 “反应迟钝” 而遭受诟病，但是它却从一定程度上控制了短期风险。</w:t>
      </w:r>
    </w:p>
    <w:p w14:paraId="7FA60579" w14:textId="4519F2C0" w:rsidR="000F64D6" w:rsidRDefault="000F64D6" w:rsidP="000F64D6">
      <w:pPr>
        <w:rPr>
          <w:rFonts w:hint="eastAsia"/>
        </w:rPr>
      </w:pPr>
      <w:proofErr w:type="gramStart"/>
      <w:r>
        <w:rPr>
          <w:rFonts w:hint="eastAsia"/>
        </w:rPr>
        <w:t>趋势定投恰恰</w:t>
      </w:r>
      <w:proofErr w:type="gramEnd"/>
      <w:r>
        <w:rPr>
          <w:rFonts w:hint="eastAsia"/>
        </w:rPr>
        <w:t>体现了这一投资理念，该类基金</w:t>
      </w:r>
      <w:proofErr w:type="gramStart"/>
      <w:r>
        <w:rPr>
          <w:rFonts w:hint="eastAsia"/>
        </w:rPr>
        <w:t>定投会</w:t>
      </w:r>
      <w:proofErr w:type="gramEnd"/>
      <w:r>
        <w:rPr>
          <w:rFonts w:hint="eastAsia"/>
        </w:rPr>
        <w:t>选定两类产品（分别是投资品种和避险品种，譬如指数基金和货币基金）</w:t>
      </w:r>
      <w:proofErr w:type="gramStart"/>
      <w:r>
        <w:rPr>
          <w:rFonts w:hint="eastAsia"/>
        </w:rPr>
        <w:t>作为定投的</w:t>
      </w:r>
      <w:proofErr w:type="gramEnd"/>
      <w:r>
        <w:rPr>
          <w:rFonts w:hint="eastAsia"/>
        </w:rPr>
        <w:t>候选品种，根据技术指标确定行情性质，确认扣款日</w:t>
      </w:r>
      <w:proofErr w:type="gramStart"/>
      <w:r>
        <w:rPr>
          <w:rFonts w:hint="eastAsia"/>
        </w:rPr>
        <w:t>的定投品种</w:t>
      </w:r>
      <w:proofErr w:type="gramEnd"/>
      <w:r>
        <w:rPr>
          <w:rFonts w:hint="eastAsia"/>
        </w:rPr>
        <w:t>。行情向好时，选择投资品种进行定投，行情弱势时，选择避险品种进行定投。这一方式的好处在于，这种</w:t>
      </w:r>
      <w:proofErr w:type="gramStart"/>
      <w:r>
        <w:rPr>
          <w:rFonts w:hint="eastAsia"/>
        </w:rPr>
        <w:t>定投方式</w:t>
      </w:r>
      <w:proofErr w:type="gramEnd"/>
      <w:r>
        <w:rPr>
          <w:rFonts w:hint="eastAsia"/>
        </w:rPr>
        <w:t>一直在选择当前收益较好、风险较低的品种进行投资，但是从长期投资的角度来看，当前收益最佳的品种并非就是未来收益最佳的品种。而由于趋势确定的 “迟钝性”，使得投资者未来可能需要花费更高的成本来进行组合配置上调整。</w:t>
      </w:r>
    </w:p>
    <w:p w14:paraId="1AF7B7F4" w14:textId="0F8296EE" w:rsidR="000F64D6" w:rsidRDefault="000F64D6" w:rsidP="000F64D6">
      <w:pPr>
        <w:rPr>
          <w:rFonts w:hint="eastAsia"/>
        </w:rPr>
      </w:pPr>
      <w:proofErr w:type="gramStart"/>
      <w:r w:rsidRPr="000F64D6">
        <w:rPr>
          <w:rStyle w:val="af4"/>
          <w:rFonts w:hint="eastAsia"/>
        </w:rPr>
        <w:lastRenderedPageBreak/>
        <w:t>估值定投</w:t>
      </w:r>
      <w:proofErr w:type="gramEnd"/>
      <w:r>
        <w:rPr>
          <w:rFonts w:hint="eastAsia"/>
        </w:rPr>
        <w:t xml:space="preserve"> ：当然，你也可能对各类的技术分析并不感冒，认定自己是个价值投资者，坚信低估值更有可能获得高回报，倾向于 “估值越低多买，估值越高少买” </w:t>
      </w:r>
      <w:proofErr w:type="gramStart"/>
      <w:r>
        <w:rPr>
          <w:rFonts w:hint="eastAsia"/>
        </w:rPr>
        <w:t>的定投方式</w:t>
      </w:r>
      <w:proofErr w:type="gramEnd"/>
      <w:r>
        <w:rPr>
          <w:rFonts w:hint="eastAsia"/>
        </w:rPr>
        <w:t>，那么，目前市场上的估值定投法或许能够满足你的投资偏好。该类</w:t>
      </w:r>
      <w:proofErr w:type="gramStart"/>
      <w:r>
        <w:rPr>
          <w:rFonts w:hint="eastAsia"/>
        </w:rPr>
        <w:t>基金定投时</w:t>
      </w:r>
      <w:proofErr w:type="gramEnd"/>
      <w:r>
        <w:rPr>
          <w:rFonts w:hint="eastAsia"/>
        </w:rPr>
        <w:t>，投资者首先确定</w:t>
      </w:r>
      <w:proofErr w:type="gramStart"/>
      <w:r>
        <w:rPr>
          <w:rFonts w:hint="eastAsia"/>
        </w:rPr>
        <w:t>定</w:t>
      </w:r>
      <w:proofErr w:type="gramEnd"/>
      <w:r>
        <w:rPr>
          <w:rFonts w:hint="eastAsia"/>
        </w:rPr>
        <w:t>投品种，然后选定参照指数在某一时点估值为基准，将扣款日前一日的实际指数估值与之进行对比，再确定基金</w:t>
      </w:r>
      <w:proofErr w:type="gramStart"/>
      <w:r>
        <w:rPr>
          <w:rFonts w:hint="eastAsia"/>
        </w:rPr>
        <w:t>定投扣</w:t>
      </w:r>
      <w:proofErr w:type="gramEnd"/>
      <w:r>
        <w:rPr>
          <w:rFonts w:hint="eastAsia"/>
        </w:rPr>
        <w:t>款额度。</w:t>
      </w:r>
      <w:proofErr w:type="gramStart"/>
      <w:r>
        <w:rPr>
          <w:rFonts w:hint="eastAsia"/>
        </w:rPr>
        <w:t>该类定投的</w:t>
      </w:r>
      <w:proofErr w:type="gramEnd"/>
      <w:r>
        <w:rPr>
          <w:rFonts w:hint="eastAsia"/>
        </w:rPr>
        <w:t>优势在于，投资者可以将筹码更多地聚集在低估值区域，如果市场符合价值成长的规律，投资者在长期投资的过程将获得更高的收益，自然该类投资者也可能需要和巴菲特一样，付出较长的时间成本。</w:t>
      </w:r>
    </w:p>
    <w:p w14:paraId="2C58D020" w14:textId="77777777" w:rsidR="000F64D6" w:rsidRDefault="000F64D6" w:rsidP="000F64D6">
      <w:pPr>
        <w:rPr>
          <w:rFonts w:hint="eastAsia"/>
        </w:rPr>
      </w:pPr>
      <w:r>
        <w:rPr>
          <w:rFonts w:hint="eastAsia"/>
        </w:rPr>
        <w:t>上述三种智能</w:t>
      </w:r>
      <w:proofErr w:type="gramStart"/>
      <w:r>
        <w:rPr>
          <w:rFonts w:hint="eastAsia"/>
        </w:rPr>
        <w:t>定投方式</w:t>
      </w:r>
      <w:proofErr w:type="gramEnd"/>
      <w:r>
        <w:rPr>
          <w:rFonts w:hint="eastAsia"/>
        </w:rPr>
        <w:t>的前提，都是在整个投资过程中投资者风险承受能力不发生变化、且只投资于单只基金。但在实际中，投资者的风险承受能力通常会随着自身年龄的变化而变化。风险承受能力通常与年龄成反比，即越年轻时，风险承受能力越强，年纪越大，越</w:t>
      </w:r>
      <w:proofErr w:type="gramStart"/>
      <w:r>
        <w:rPr>
          <w:rFonts w:hint="eastAsia"/>
        </w:rPr>
        <w:t>偏好低</w:t>
      </w:r>
      <w:proofErr w:type="gramEnd"/>
      <w:r>
        <w:rPr>
          <w:rFonts w:hint="eastAsia"/>
        </w:rPr>
        <w:t>风险、收益稳定的投资品种。因而，投资者的资产配置可能更多的是一种基于自身风险承受能力变化、而非市场变化的动态调整的过程。</w:t>
      </w:r>
    </w:p>
    <w:p w14:paraId="66353636" w14:textId="77777777" w:rsidR="000F64D6" w:rsidRDefault="000F64D6" w:rsidP="000F64D6">
      <w:pPr>
        <w:rPr>
          <w:rFonts w:hint="eastAsia"/>
        </w:rPr>
      </w:pPr>
    </w:p>
    <w:p w14:paraId="4EF03F8A" w14:textId="1448D1F0" w:rsidR="000F64D6" w:rsidRPr="003C632D" w:rsidRDefault="000F64D6" w:rsidP="003C632D">
      <w:pPr>
        <w:pStyle w:val="3"/>
        <w:rPr>
          <w:rFonts w:hint="eastAsia"/>
          <w:b/>
          <w:bCs/>
        </w:rPr>
      </w:pPr>
      <w:r w:rsidRPr="000F64D6">
        <w:rPr>
          <w:rStyle w:val="af4"/>
          <w:rFonts w:hint="eastAsia"/>
        </w:rPr>
        <w:t>不同风险承受能力对应</w:t>
      </w:r>
      <w:proofErr w:type="gramStart"/>
      <w:r w:rsidRPr="000F64D6">
        <w:rPr>
          <w:rStyle w:val="af4"/>
          <w:rFonts w:hint="eastAsia"/>
        </w:rPr>
        <w:t>的定投类型</w:t>
      </w:r>
      <w:proofErr w:type="gramEnd"/>
    </w:p>
    <w:p w14:paraId="71C2753C" w14:textId="77777777" w:rsidR="000F64D6" w:rsidRDefault="000F64D6" w:rsidP="000F64D6">
      <w:pPr>
        <w:rPr>
          <w:rFonts w:hint="eastAsia"/>
        </w:rPr>
      </w:pPr>
      <w:proofErr w:type="gramStart"/>
      <w:r>
        <w:rPr>
          <w:rFonts w:hint="eastAsia"/>
        </w:rPr>
        <w:t>定投类型</w:t>
      </w:r>
      <w:proofErr w:type="gramEnd"/>
      <w:r>
        <w:rPr>
          <w:rFonts w:hint="eastAsia"/>
        </w:rPr>
        <w:t xml:space="preserve"> | 要求风险承受能力 | 流动性需求 | 理论基础</w:t>
      </w:r>
    </w:p>
    <w:p w14:paraId="4C187269" w14:textId="77777777" w:rsidR="000F64D6" w:rsidRDefault="000F64D6" w:rsidP="000F64D6">
      <w:pPr>
        <w:rPr>
          <w:rFonts w:hint="eastAsia"/>
        </w:rPr>
      </w:pPr>
      <w:r>
        <w:rPr>
          <w:rFonts w:hint="eastAsia"/>
        </w:rPr>
        <w:t>---|---|---|---</w:t>
      </w:r>
    </w:p>
    <w:p w14:paraId="60EA0A79" w14:textId="77777777" w:rsidR="000F64D6" w:rsidRDefault="000F64D6" w:rsidP="000F64D6">
      <w:pPr>
        <w:rPr>
          <w:rFonts w:hint="eastAsia"/>
        </w:rPr>
      </w:pPr>
      <w:r>
        <w:rPr>
          <w:rFonts w:hint="eastAsia"/>
        </w:rPr>
        <w:t>定期定额 | 一般 | 低，每期金额固定 | 市场有效理论</w:t>
      </w:r>
    </w:p>
    <w:p w14:paraId="0DA0A61E" w14:textId="77777777" w:rsidR="000F64D6" w:rsidRDefault="000F64D6" w:rsidP="000F64D6">
      <w:pPr>
        <w:rPr>
          <w:rFonts w:hint="eastAsia"/>
        </w:rPr>
      </w:pPr>
      <w:r>
        <w:rPr>
          <w:rFonts w:hint="eastAsia"/>
        </w:rPr>
        <w:t>越跌多买，越涨少买 | 较强 | 高，每期金额不固定 | 左侧交易</w:t>
      </w:r>
    </w:p>
    <w:p w14:paraId="67117E6D" w14:textId="77777777" w:rsidR="000F64D6" w:rsidRDefault="000F64D6" w:rsidP="000F64D6">
      <w:pPr>
        <w:rPr>
          <w:rFonts w:hint="eastAsia"/>
        </w:rPr>
      </w:pPr>
      <w:proofErr w:type="gramStart"/>
      <w:r>
        <w:rPr>
          <w:rFonts w:hint="eastAsia"/>
        </w:rPr>
        <w:t>趋势定投</w:t>
      </w:r>
      <w:proofErr w:type="gramEnd"/>
      <w:r>
        <w:rPr>
          <w:rFonts w:hint="eastAsia"/>
        </w:rPr>
        <w:t xml:space="preserve"> | 弱 | 低，每期金额固定 | 右侧交易</w:t>
      </w:r>
    </w:p>
    <w:p w14:paraId="252BF7E9" w14:textId="77777777" w:rsidR="000F64D6" w:rsidRDefault="000F64D6" w:rsidP="000F64D6">
      <w:pPr>
        <w:rPr>
          <w:rFonts w:hint="eastAsia"/>
        </w:rPr>
      </w:pPr>
      <w:proofErr w:type="gramStart"/>
      <w:r>
        <w:rPr>
          <w:rFonts w:hint="eastAsia"/>
        </w:rPr>
        <w:t>估值定投</w:t>
      </w:r>
      <w:proofErr w:type="gramEnd"/>
      <w:r>
        <w:rPr>
          <w:rFonts w:hint="eastAsia"/>
        </w:rPr>
        <w:t xml:space="preserve"> | 较强 | 高，每期金额不固定 | 价值投资</w:t>
      </w:r>
    </w:p>
    <w:p w14:paraId="22D27718" w14:textId="77777777" w:rsidR="000F64D6" w:rsidRDefault="000F64D6" w:rsidP="000F64D6">
      <w:pPr>
        <w:rPr>
          <w:rFonts w:hint="eastAsia"/>
        </w:rPr>
      </w:pPr>
      <w:r>
        <w:rPr>
          <w:rFonts w:hint="eastAsia"/>
        </w:rPr>
        <w:t>动态资产</w:t>
      </w:r>
      <w:proofErr w:type="gramStart"/>
      <w:r>
        <w:rPr>
          <w:rFonts w:hint="eastAsia"/>
        </w:rPr>
        <w:t>配置定投</w:t>
      </w:r>
      <w:proofErr w:type="gramEnd"/>
      <w:r>
        <w:rPr>
          <w:rFonts w:hint="eastAsia"/>
        </w:rPr>
        <w:t xml:space="preserve"> | 动态变化 | 低，每期金额固定 | 资产配置</w:t>
      </w:r>
    </w:p>
    <w:p w14:paraId="7F2F9833" w14:textId="77777777" w:rsidR="000F64D6" w:rsidRDefault="000F64D6" w:rsidP="000F64D6">
      <w:pPr>
        <w:rPr>
          <w:rFonts w:hint="eastAsia"/>
        </w:rPr>
      </w:pPr>
    </w:p>
    <w:p w14:paraId="69B38263" w14:textId="48AAA706" w:rsidR="000F64D6" w:rsidRDefault="000F64D6" w:rsidP="003C632D">
      <w:pPr>
        <w:pStyle w:val="3"/>
        <w:rPr>
          <w:rFonts w:hint="eastAsia"/>
        </w:rPr>
      </w:pPr>
      <w:r>
        <w:rPr>
          <w:rFonts w:hint="eastAsia"/>
        </w:rPr>
        <w:t>FOF 基金</w:t>
      </w:r>
    </w:p>
    <w:p w14:paraId="269DED7A" w14:textId="77777777" w:rsidR="000F64D6" w:rsidRDefault="000F64D6" w:rsidP="000F64D6">
      <w:pPr>
        <w:rPr>
          <w:rFonts w:hint="eastAsia"/>
        </w:rPr>
      </w:pPr>
      <w:r>
        <w:rPr>
          <w:rFonts w:hint="eastAsia"/>
        </w:rPr>
        <w:t>其实，无论是定期定额，还是五花八门的智能定投，最终决策依据还是落脚到投资者自身的偏好。下图中我们总结了不同的风险承受能力、流动性需求、和理论</w:t>
      </w:r>
      <w:proofErr w:type="gramStart"/>
      <w:r>
        <w:rPr>
          <w:rFonts w:hint="eastAsia"/>
        </w:rPr>
        <w:t>篇好的</w:t>
      </w:r>
      <w:proofErr w:type="gramEnd"/>
      <w:r>
        <w:rPr>
          <w:rFonts w:hint="eastAsia"/>
        </w:rPr>
        <w:t>投资者适合</w:t>
      </w:r>
      <w:proofErr w:type="gramStart"/>
      <w:r>
        <w:rPr>
          <w:rFonts w:hint="eastAsia"/>
        </w:rPr>
        <w:t>的定投类型</w:t>
      </w:r>
      <w:proofErr w:type="gramEnd"/>
      <w:r>
        <w:rPr>
          <w:rFonts w:hint="eastAsia"/>
        </w:rPr>
        <w:t>，供投资者参考。</w:t>
      </w:r>
    </w:p>
    <w:p w14:paraId="7451168E" w14:textId="77777777" w:rsidR="000F64D6" w:rsidRDefault="000F64D6" w:rsidP="000F64D6">
      <w:pPr>
        <w:rPr>
          <w:rFonts w:hint="eastAsia"/>
        </w:rPr>
      </w:pPr>
    </w:p>
    <w:p w14:paraId="030B068A" w14:textId="735D7141" w:rsidR="000F64D6" w:rsidRDefault="000F64D6" w:rsidP="003C632D">
      <w:pPr>
        <w:pStyle w:val="3"/>
        <w:rPr>
          <w:rFonts w:hint="eastAsia"/>
        </w:rPr>
      </w:pPr>
      <w:r>
        <w:rPr>
          <w:rFonts w:hint="eastAsia"/>
        </w:rPr>
        <w:t>FOF 基金简介</w:t>
      </w:r>
    </w:p>
    <w:p w14:paraId="6D7AD16D" w14:textId="62CEBA1B" w:rsidR="000F64D6" w:rsidRPr="003C632D" w:rsidRDefault="000F64D6" w:rsidP="000F64D6">
      <w:pPr>
        <w:rPr>
          <w:rFonts w:hint="eastAsia"/>
        </w:rPr>
      </w:pPr>
      <w:r>
        <w:rPr>
          <w:rFonts w:hint="eastAsia"/>
        </w:rPr>
        <w:t>一言以蔽之，FOF（Fund of Fund，基金中的基金）是以基金为投资标的</w:t>
      </w:r>
      <w:proofErr w:type="gramStart"/>
      <w:r>
        <w:rPr>
          <w:rFonts w:hint="eastAsia"/>
        </w:rPr>
        <w:t>的</w:t>
      </w:r>
      <w:proofErr w:type="gramEnd"/>
      <w:r>
        <w:rPr>
          <w:rFonts w:hint="eastAsia"/>
        </w:rPr>
        <w:t>基金产品，</w:t>
      </w:r>
      <w:r>
        <w:rPr>
          <w:rFonts w:hint="eastAsia"/>
        </w:rPr>
        <w:lastRenderedPageBreak/>
        <w:t>其本质就是通过专业投资团队帮助投资者优选不同资产领域的基金，并做组合配置，以实现分散风险、降低整体波动，优化基金投资效果。</w:t>
      </w:r>
    </w:p>
    <w:p w14:paraId="606EA151" w14:textId="2FC68270" w:rsidR="000F64D6" w:rsidRDefault="000F64D6" w:rsidP="000F64D6">
      <w:pPr>
        <w:rPr>
          <w:rFonts w:hint="eastAsia"/>
        </w:rPr>
      </w:pPr>
      <w:r>
        <w:rPr>
          <w:rFonts w:hint="eastAsia"/>
        </w:rPr>
        <w:t>以国泰君</w:t>
      </w:r>
      <w:proofErr w:type="gramStart"/>
      <w:r>
        <w:rPr>
          <w:rFonts w:hint="eastAsia"/>
        </w:rPr>
        <w:t>安资管</w:t>
      </w:r>
      <w:proofErr w:type="gramEnd"/>
      <w:r>
        <w:rPr>
          <w:rFonts w:hint="eastAsia"/>
        </w:rPr>
        <w:t xml:space="preserve"> FOF 投资方法为例，从初始到最后产出持仓组合，要经过三步严选：第一步，排除差选项，选出好基金；第二步，通过有效组合出多元的 Alpha 能力；第三步，判断整体经济市场环境，再进一步增强收益能力。</w:t>
      </w:r>
    </w:p>
    <w:p w14:paraId="3082BA0D" w14:textId="6A377E5E" w:rsidR="000F64D6" w:rsidRDefault="000F64D6" w:rsidP="000F64D6">
      <w:pPr>
        <w:rPr>
          <w:rFonts w:hint="eastAsia"/>
        </w:rPr>
      </w:pPr>
      <w:r>
        <w:rPr>
          <w:rFonts w:hint="eastAsia"/>
        </w:rPr>
        <w:t xml:space="preserve">回顾历史，FOF 类基金产品起源于 20 世纪 70 年代的美国，由先锋基金（Vanguard）首次推出，当时主要用于投资一系列的私募股权。20 世纪 80 年代，美国道琼斯指数上涨逾 2 </w:t>
      </w:r>
      <w:proofErr w:type="gramStart"/>
      <w:r>
        <w:rPr>
          <w:rFonts w:hint="eastAsia"/>
        </w:rPr>
        <w:t>倍</w:t>
      </w:r>
      <w:proofErr w:type="gramEnd"/>
      <w:r>
        <w:rPr>
          <w:rFonts w:hint="eastAsia"/>
        </w:rPr>
        <w:t>，各大基金产品热销，每年都会出现各种各样的 “冠军” 基金，直到 1987 年的美股股灾，权益基金几乎全军覆没，投资者开始对于市场不同情况配置不同种类基金的多元化配置进行思考，而 FOF 在分散风险、稳健收益方面的优势明显，从此进入了快速发展阶段。</w:t>
      </w:r>
    </w:p>
    <w:p w14:paraId="7F1D0A5F" w14:textId="22BEE0EE" w:rsidR="000F64D6" w:rsidRDefault="000F64D6" w:rsidP="003C632D">
      <w:pPr>
        <w:pStyle w:val="3"/>
        <w:rPr>
          <w:rFonts w:hint="eastAsia"/>
        </w:rPr>
      </w:pPr>
      <w:r>
        <w:rPr>
          <w:rFonts w:hint="eastAsia"/>
        </w:rPr>
        <w:t xml:space="preserve"> FOF 基金的优势</w:t>
      </w:r>
    </w:p>
    <w:p w14:paraId="1823E7A2" w14:textId="77777777" w:rsidR="000F64D6" w:rsidRDefault="000F64D6" w:rsidP="000F64D6">
      <w:pPr>
        <w:rPr>
          <w:rFonts w:hint="eastAsia"/>
        </w:rPr>
      </w:pPr>
      <w:r>
        <w:rPr>
          <w:rFonts w:hint="eastAsia"/>
        </w:rPr>
        <w:t>FOF 作为稳健型产品的代表，可以平衡自身资产配置，帮助投资者在市场大起大落之时，稳住波动。而若就单一资产而言，即便是低风险偏好的代表 —— 养老金市场，也难以</w:t>
      </w:r>
      <w:proofErr w:type="gramStart"/>
      <w:r>
        <w:rPr>
          <w:rFonts w:hint="eastAsia"/>
        </w:rPr>
        <w:t>熨</w:t>
      </w:r>
      <w:proofErr w:type="gramEnd"/>
      <w:r>
        <w:rPr>
          <w:rFonts w:hint="eastAsia"/>
        </w:rPr>
        <w:t>平波动、获得 “长胜”。</w:t>
      </w:r>
    </w:p>
    <w:p w14:paraId="3479F4EA" w14:textId="77777777" w:rsidR="000F64D6" w:rsidRDefault="000F64D6" w:rsidP="000F64D6">
      <w:pPr>
        <w:rPr>
          <w:rFonts w:hint="eastAsia"/>
        </w:rPr>
      </w:pPr>
    </w:p>
    <w:p w14:paraId="6715CCE9" w14:textId="640B5B6A" w:rsidR="000F64D6" w:rsidRDefault="000F64D6" w:rsidP="003C632D">
      <w:pPr>
        <w:pStyle w:val="3"/>
        <w:rPr>
          <w:rFonts w:hint="eastAsia"/>
        </w:rPr>
      </w:pPr>
      <w:r>
        <w:rPr>
          <w:rFonts w:hint="eastAsia"/>
        </w:rPr>
        <w:t>FOF 基金的投资策略</w:t>
      </w:r>
    </w:p>
    <w:p w14:paraId="540A8481" w14:textId="0FC7C1C3" w:rsidR="000F64D6" w:rsidRDefault="000F64D6" w:rsidP="000F64D6">
      <w:pPr>
        <w:rPr>
          <w:rFonts w:hint="eastAsia"/>
        </w:rPr>
      </w:pPr>
      <w:r>
        <w:rPr>
          <w:rFonts w:hint="eastAsia"/>
        </w:rPr>
        <w:t>在组合配置的管理中，投资团队通常有两大策略方向：</w:t>
      </w:r>
    </w:p>
    <w:p w14:paraId="328A2241" w14:textId="77777777" w:rsidR="000F64D6" w:rsidRDefault="000F64D6" w:rsidP="000F64D6">
      <w:pPr>
        <w:rPr>
          <w:rFonts w:hint="eastAsia"/>
        </w:rPr>
      </w:pPr>
      <w:r>
        <w:rPr>
          <w:rFonts w:hint="eastAsia"/>
        </w:rPr>
        <w:t xml:space="preserve">  1. 重视优质基金筛选，以期获得绝对收益 α</w:t>
      </w:r>
    </w:p>
    <w:p w14:paraId="528E34DB" w14:textId="7D610B43" w:rsidR="000F64D6" w:rsidRDefault="000F64D6" w:rsidP="000F64D6">
      <w:pPr>
        <w:rPr>
          <w:rFonts w:hint="eastAsia"/>
        </w:rPr>
      </w:pPr>
      <w:r>
        <w:rPr>
          <w:rFonts w:hint="eastAsia"/>
        </w:rPr>
        <w:t xml:space="preserve">  2. 重视组合配置，以期平衡收益和风险</w:t>
      </w:r>
    </w:p>
    <w:p w14:paraId="5FCEE34E" w14:textId="0EF9F6BD" w:rsidR="000F64D6" w:rsidRPr="003C632D" w:rsidRDefault="000F64D6" w:rsidP="000F64D6">
      <w:pPr>
        <w:rPr>
          <w:rFonts w:hint="eastAsia"/>
        </w:rPr>
      </w:pPr>
      <w:r>
        <w:rPr>
          <w:rFonts w:hint="eastAsia"/>
        </w:rPr>
        <w:t>国内市场和海外市场，根据实际情况的不同，会对两部分有不同的侧重。</w:t>
      </w:r>
    </w:p>
    <w:p w14:paraId="6FD67B19" w14:textId="2D921B1A" w:rsidR="000F64D6" w:rsidRDefault="000F64D6" w:rsidP="000F64D6">
      <w:pPr>
        <w:rPr>
          <w:rFonts w:hint="eastAsia"/>
        </w:rPr>
      </w:pPr>
      <w:r>
        <w:rPr>
          <w:rFonts w:hint="eastAsia"/>
        </w:rPr>
        <w:t>就国内市场而言，主动基金往往可以跑</w:t>
      </w:r>
      <w:proofErr w:type="gramStart"/>
      <w:r>
        <w:rPr>
          <w:rFonts w:hint="eastAsia"/>
        </w:rPr>
        <w:t>赢指数</w:t>
      </w:r>
      <w:proofErr w:type="gramEnd"/>
      <w:r>
        <w:rPr>
          <w:rFonts w:hint="eastAsia"/>
        </w:rPr>
        <w:t>基金，仍然有相对收益可以获取，所以关注重点在于如何筛选出优质的主动管理基金。以国泰君</w:t>
      </w:r>
      <w:proofErr w:type="gramStart"/>
      <w:r>
        <w:rPr>
          <w:rFonts w:hint="eastAsia"/>
        </w:rPr>
        <w:t>安资管</w:t>
      </w:r>
      <w:proofErr w:type="gramEnd"/>
      <w:r>
        <w:rPr>
          <w:rFonts w:hint="eastAsia"/>
        </w:rPr>
        <w:t>为例，挑选的过程会着重关注基金经理的管理能力和职业背景，并从证券选择能力、时机选择能力、风险管理能力；职业完整周期、任职情况以及团队配置等维度进行衡量。</w:t>
      </w:r>
    </w:p>
    <w:p w14:paraId="123D5C01" w14:textId="0CFDF0CE" w:rsidR="000F64D6" w:rsidRDefault="000F64D6" w:rsidP="000F64D6">
      <w:pPr>
        <w:rPr>
          <w:rFonts w:hint="eastAsia"/>
        </w:rPr>
      </w:pPr>
      <w:r>
        <w:rPr>
          <w:rFonts w:hint="eastAsia"/>
        </w:rPr>
        <w:t>反观美国市场，主动管理基金</w:t>
      </w:r>
      <w:proofErr w:type="gramStart"/>
      <w:r>
        <w:rPr>
          <w:rFonts w:hint="eastAsia"/>
        </w:rPr>
        <w:t>很难跑赢指数</w:t>
      </w:r>
      <w:proofErr w:type="gramEnd"/>
      <w:r>
        <w:rPr>
          <w:rFonts w:hint="eastAsia"/>
        </w:rPr>
        <w:t>基金，于是 FOF 策略的重点就落到了组合配置之上。</w:t>
      </w:r>
    </w:p>
    <w:p w14:paraId="56FF57D2" w14:textId="77777777" w:rsidR="000F64D6" w:rsidRDefault="000F64D6" w:rsidP="000F64D6">
      <w:pPr>
        <w:rPr>
          <w:rFonts w:hint="eastAsia"/>
        </w:rPr>
      </w:pPr>
    </w:p>
    <w:p w14:paraId="18C7C8D5" w14:textId="77777777" w:rsidR="000F64D6" w:rsidRDefault="000F64D6" w:rsidP="000F64D6">
      <w:pPr>
        <w:rPr>
          <w:rFonts w:hint="eastAsia"/>
        </w:rPr>
      </w:pPr>
    </w:p>
    <w:p w14:paraId="0B9ED847" w14:textId="58CEE606" w:rsidR="00DE1D20" w:rsidRPr="00A74291" w:rsidRDefault="00DE1D20" w:rsidP="000F64D6"/>
    <w:sectPr w:rsidR="00DE1D20" w:rsidRPr="00A742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376D0" w14:textId="77777777" w:rsidR="008B2843" w:rsidRDefault="008B2843" w:rsidP="00DB789B">
      <w:pPr>
        <w:spacing w:after="0" w:line="240" w:lineRule="auto"/>
        <w:rPr>
          <w:rFonts w:hint="eastAsia"/>
        </w:rPr>
      </w:pPr>
      <w:r>
        <w:separator/>
      </w:r>
    </w:p>
  </w:endnote>
  <w:endnote w:type="continuationSeparator" w:id="0">
    <w:p w14:paraId="4DB6DE7C" w14:textId="77777777" w:rsidR="008B2843" w:rsidRDefault="008B2843" w:rsidP="00DB789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0D5C9" w14:textId="77777777" w:rsidR="008B2843" w:rsidRDefault="008B2843" w:rsidP="00DB789B">
      <w:pPr>
        <w:spacing w:after="0" w:line="240" w:lineRule="auto"/>
        <w:rPr>
          <w:rFonts w:hint="eastAsia"/>
        </w:rPr>
      </w:pPr>
      <w:r>
        <w:separator/>
      </w:r>
    </w:p>
  </w:footnote>
  <w:footnote w:type="continuationSeparator" w:id="0">
    <w:p w14:paraId="384BE279" w14:textId="77777777" w:rsidR="008B2843" w:rsidRDefault="008B2843" w:rsidP="00DB789B">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4BE"/>
    <w:multiLevelType w:val="multilevel"/>
    <w:tmpl w:val="18F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23CD7"/>
    <w:multiLevelType w:val="multilevel"/>
    <w:tmpl w:val="A328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C17FC"/>
    <w:multiLevelType w:val="multilevel"/>
    <w:tmpl w:val="B68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D779B"/>
    <w:multiLevelType w:val="multilevel"/>
    <w:tmpl w:val="84D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115523">
    <w:abstractNumId w:val="2"/>
  </w:num>
  <w:num w:numId="2" w16cid:durableId="582766086">
    <w:abstractNumId w:val="1"/>
  </w:num>
  <w:num w:numId="3" w16cid:durableId="542642396">
    <w:abstractNumId w:val="0"/>
  </w:num>
  <w:num w:numId="4" w16cid:durableId="1319650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20"/>
    <w:rsid w:val="000F64D6"/>
    <w:rsid w:val="002A7C96"/>
    <w:rsid w:val="003C632D"/>
    <w:rsid w:val="008B2843"/>
    <w:rsid w:val="00A74291"/>
    <w:rsid w:val="00DB789B"/>
    <w:rsid w:val="00DE1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53CC68"/>
  <w15:chartTrackingRefBased/>
  <w15:docId w15:val="{E5F48157-F547-4DD5-BC33-691BFA5E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E1D2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DE1D2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DE1D2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E1D2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E1D2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E1D20"/>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E1D2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1D2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1D2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D2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DE1D2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DE1D2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E1D20"/>
    <w:rPr>
      <w:rFonts w:cstheme="majorBidi"/>
      <w:color w:val="2F5496" w:themeColor="accent1" w:themeShade="BF"/>
      <w:sz w:val="28"/>
      <w:szCs w:val="28"/>
    </w:rPr>
  </w:style>
  <w:style w:type="character" w:customStyle="1" w:styleId="50">
    <w:name w:val="标题 5 字符"/>
    <w:basedOn w:val="a0"/>
    <w:link w:val="5"/>
    <w:uiPriority w:val="9"/>
    <w:semiHidden/>
    <w:rsid w:val="00DE1D20"/>
    <w:rPr>
      <w:rFonts w:cstheme="majorBidi"/>
      <w:color w:val="2F5496" w:themeColor="accent1" w:themeShade="BF"/>
      <w:sz w:val="24"/>
    </w:rPr>
  </w:style>
  <w:style w:type="character" w:customStyle="1" w:styleId="60">
    <w:name w:val="标题 6 字符"/>
    <w:basedOn w:val="a0"/>
    <w:link w:val="6"/>
    <w:uiPriority w:val="9"/>
    <w:semiHidden/>
    <w:rsid w:val="00DE1D20"/>
    <w:rPr>
      <w:rFonts w:cstheme="majorBidi"/>
      <w:b/>
      <w:bCs/>
      <w:color w:val="2F5496" w:themeColor="accent1" w:themeShade="BF"/>
    </w:rPr>
  </w:style>
  <w:style w:type="character" w:customStyle="1" w:styleId="70">
    <w:name w:val="标题 7 字符"/>
    <w:basedOn w:val="a0"/>
    <w:link w:val="7"/>
    <w:uiPriority w:val="9"/>
    <w:semiHidden/>
    <w:rsid w:val="00DE1D20"/>
    <w:rPr>
      <w:rFonts w:cstheme="majorBidi"/>
      <w:b/>
      <w:bCs/>
      <w:color w:val="595959" w:themeColor="text1" w:themeTint="A6"/>
    </w:rPr>
  </w:style>
  <w:style w:type="character" w:customStyle="1" w:styleId="80">
    <w:name w:val="标题 8 字符"/>
    <w:basedOn w:val="a0"/>
    <w:link w:val="8"/>
    <w:uiPriority w:val="9"/>
    <w:semiHidden/>
    <w:rsid w:val="00DE1D20"/>
    <w:rPr>
      <w:rFonts w:cstheme="majorBidi"/>
      <w:color w:val="595959" w:themeColor="text1" w:themeTint="A6"/>
    </w:rPr>
  </w:style>
  <w:style w:type="character" w:customStyle="1" w:styleId="90">
    <w:name w:val="标题 9 字符"/>
    <w:basedOn w:val="a0"/>
    <w:link w:val="9"/>
    <w:uiPriority w:val="9"/>
    <w:semiHidden/>
    <w:rsid w:val="00DE1D20"/>
    <w:rPr>
      <w:rFonts w:eastAsiaTheme="majorEastAsia" w:cstheme="majorBidi"/>
      <w:color w:val="595959" w:themeColor="text1" w:themeTint="A6"/>
    </w:rPr>
  </w:style>
  <w:style w:type="paragraph" w:styleId="a3">
    <w:name w:val="Title"/>
    <w:basedOn w:val="a"/>
    <w:next w:val="a"/>
    <w:link w:val="a4"/>
    <w:uiPriority w:val="10"/>
    <w:qFormat/>
    <w:rsid w:val="00DE1D2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1D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1D2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1D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1D20"/>
    <w:pPr>
      <w:spacing w:before="160"/>
      <w:jc w:val="center"/>
    </w:pPr>
    <w:rPr>
      <w:i/>
      <w:iCs/>
      <w:color w:val="404040" w:themeColor="text1" w:themeTint="BF"/>
    </w:rPr>
  </w:style>
  <w:style w:type="character" w:customStyle="1" w:styleId="a8">
    <w:name w:val="引用 字符"/>
    <w:basedOn w:val="a0"/>
    <w:link w:val="a7"/>
    <w:uiPriority w:val="29"/>
    <w:rsid w:val="00DE1D20"/>
    <w:rPr>
      <w:i/>
      <w:iCs/>
      <w:color w:val="404040" w:themeColor="text1" w:themeTint="BF"/>
    </w:rPr>
  </w:style>
  <w:style w:type="paragraph" w:styleId="a9">
    <w:name w:val="List Paragraph"/>
    <w:basedOn w:val="a"/>
    <w:uiPriority w:val="34"/>
    <w:qFormat/>
    <w:rsid w:val="00DE1D20"/>
    <w:pPr>
      <w:ind w:left="720"/>
      <w:contextualSpacing/>
    </w:pPr>
  </w:style>
  <w:style w:type="character" w:styleId="aa">
    <w:name w:val="Intense Emphasis"/>
    <w:basedOn w:val="a0"/>
    <w:uiPriority w:val="21"/>
    <w:qFormat/>
    <w:rsid w:val="00DE1D20"/>
    <w:rPr>
      <w:i/>
      <w:iCs/>
      <w:color w:val="2F5496" w:themeColor="accent1" w:themeShade="BF"/>
    </w:rPr>
  </w:style>
  <w:style w:type="paragraph" w:styleId="ab">
    <w:name w:val="Intense Quote"/>
    <w:basedOn w:val="a"/>
    <w:next w:val="a"/>
    <w:link w:val="ac"/>
    <w:uiPriority w:val="30"/>
    <w:qFormat/>
    <w:rsid w:val="00DE1D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1D20"/>
    <w:rPr>
      <w:i/>
      <w:iCs/>
      <w:color w:val="2F5496" w:themeColor="accent1" w:themeShade="BF"/>
    </w:rPr>
  </w:style>
  <w:style w:type="character" w:styleId="ad">
    <w:name w:val="Intense Reference"/>
    <w:basedOn w:val="a0"/>
    <w:uiPriority w:val="32"/>
    <w:qFormat/>
    <w:rsid w:val="00DE1D20"/>
    <w:rPr>
      <w:b/>
      <w:bCs/>
      <w:smallCaps/>
      <w:color w:val="2F5496" w:themeColor="accent1" w:themeShade="BF"/>
      <w:spacing w:val="5"/>
    </w:rPr>
  </w:style>
  <w:style w:type="paragraph" w:styleId="ae">
    <w:name w:val="header"/>
    <w:basedOn w:val="a"/>
    <w:link w:val="af"/>
    <w:uiPriority w:val="99"/>
    <w:unhideWhenUsed/>
    <w:rsid w:val="00DB789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B789B"/>
    <w:rPr>
      <w:sz w:val="18"/>
      <w:szCs w:val="18"/>
    </w:rPr>
  </w:style>
  <w:style w:type="paragraph" w:styleId="af0">
    <w:name w:val="footer"/>
    <w:basedOn w:val="a"/>
    <w:link w:val="af1"/>
    <w:uiPriority w:val="99"/>
    <w:unhideWhenUsed/>
    <w:rsid w:val="00DB789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B789B"/>
    <w:rPr>
      <w:sz w:val="18"/>
      <w:szCs w:val="18"/>
    </w:rPr>
  </w:style>
  <w:style w:type="character" w:styleId="af2">
    <w:name w:val="Hyperlink"/>
    <w:basedOn w:val="a0"/>
    <w:uiPriority w:val="99"/>
    <w:unhideWhenUsed/>
    <w:rsid w:val="00A74291"/>
    <w:rPr>
      <w:color w:val="0563C1" w:themeColor="hyperlink"/>
      <w:u w:val="single"/>
    </w:rPr>
  </w:style>
  <w:style w:type="character" w:styleId="af3">
    <w:name w:val="Unresolved Mention"/>
    <w:basedOn w:val="a0"/>
    <w:uiPriority w:val="99"/>
    <w:semiHidden/>
    <w:unhideWhenUsed/>
    <w:rsid w:val="00A74291"/>
    <w:rPr>
      <w:color w:val="605E5C"/>
      <w:shd w:val="clear" w:color="auto" w:fill="E1DFDD"/>
    </w:rPr>
  </w:style>
  <w:style w:type="character" w:styleId="af4">
    <w:name w:val="Strong"/>
    <w:basedOn w:val="a0"/>
    <w:uiPriority w:val="22"/>
    <w:qFormat/>
    <w:rsid w:val="000F6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310131">
      <w:bodyDiv w:val="1"/>
      <w:marLeft w:val="0"/>
      <w:marRight w:val="0"/>
      <w:marTop w:val="0"/>
      <w:marBottom w:val="0"/>
      <w:divBdr>
        <w:top w:val="none" w:sz="0" w:space="0" w:color="auto"/>
        <w:left w:val="none" w:sz="0" w:space="0" w:color="auto"/>
        <w:bottom w:val="none" w:sz="0" w:space="0" w:color="auto"/>
        <w:right w:val="none" w:sz="0" w:space="0" w:color="auto"/>
      </w:divBdr>
    </w:div>
    <w:div w:id="11668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1973</Words>
  <Characters>2271</Characters>
  <Application>Microsoft Office Word</Application>
  <DocSecurity>0</DocSecurity>
  <Lines>119</Lines>
  <Paragraphs>146</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奕涵 邵</dc:creator>
  <cp:keywords/>
  <dc:description/>
  <cp:lastModifiedBy>奕涵 邵</cp:lastModifiedBy>
  <cp:revision>2</cp:revision>
  <dcterms:created xsi:type="dcterms:W3CDTF">2025-05-01T12:47:00Z</dcterms:created>
  <dcterms:modified xsi:type="dcterms:W3CDTF">2025-05-01T13:22:00Z</dcterms:modified>
</cp:coreProperties>
</file>