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92EA8" w14:textId="643E598F" w:rsidR="005440C8" w:rsidRPr="005440C8" w:rsidRDefault="005440C8" w:rsidP="005440C8">
      <w:pPr>
        <w:rPr>
          <w:rFonts w:hint="eastAsia"/>
        </w:rPr>
      </w:pPr>
      <w:r w:rsidRPr="005440C8">
        <w:t>2008年全球金融危机，又称</w:t>
      </w:r>
      <w:proofErr w:type="gramStart"/>
      <w:r w:rsidRPr="005440C8">
        <w:t>次贷</w:t>
      </w:r>
      <w:proofErr w:type="gramEnd"/>
      <w:r w:rsidRPr="005440C8">
        <w:t>危机或金融海啸，是自1929年大萧条以来最严重的金融危机，对全球经济造成了深远影响。</w:t>
      </w:r>
    </w:p>
    <w:p w14:paraId="4D4FDDB0" w14:textId="77777777" w:rsidR="005440C8" w:rsidRPr="005440C8" w:rsidRDefault="00000000" w:rsidP="005440C8">
      <w:pPr>
        <w:rPr>
          <w:rFonts w:hint="eastAsia"/>
        </w:rPr>
      </w:pPr>
      <w:r>
        <w:pict w14:anchorId="45470828">
          <v:rect id="_x0000_i1025" style="width:0;height:1.5pt" o:hralign="center" o:hrstd="t" o:hr="t" fillcolor="#a0a0a0" stroked="f"/>
        </w:pict>
      </w:r>
    </w:p>
    <w:p w14:paraId="0BF8901E" w14:textId="77777777" w:rsidR="005440C8" w:rsidRPr="005440C8" w:rsidRDefault="005440C8" w:rsidP="005440C8">
      <w:pPr>
        <w:rPr>
          <w:rFonts w:hint="eastAsia"/>
          <w:b/>
          <w:bCs/>
        </w:rPr>
      </w:pPr>
      <w:r w:rsidRPr="005440C8">
        <w:rPr>
          <w:b/>
          <w:bCs/>
        </w:rPr>
        <w:t>危机的起因</w:t>
      </w:r>
    </w:p>
    <w:p w14:paraId="59BD86F2" w14:textId="77777777" w:rsidR="005440C8" w:rsidRPr="005440C8" w:rsidRDefault="005440C8" w:rsidP="005440C8">
      <w:pPr>
        <w:rPr>
          <w:rFonts w:hint="eastAsia"/>
        </w:rPr>
      </w:pPr>
      <w:r w:rsidRPr="005440C8">
        <w:t>此次危机的根源在于美国房地产市场的泡沫和金融体系的高杠杆操作。在</w:t>
      </w:r>
      <w:proofErr w:type="gramStart"/>
      <w:r w:rsidRPr="005440C8">
        <w:t>2000</w:t>
      </w:r>
      <w:proofErr w:type="gramEnd"/>
      <w:r w:rsidRPr="005440C8">
        <w:t>年代初，为应对经济放缓和互联网泡沫破裂，美联储将联邦基金利率降至1%的历史低位，导致信贷环境极度宽松。银行和金融机构向信用评级较低的借款人（即“次级借款人”）大量发放住房贷款，并将这些高风险贷款打包成抵押贷款支持证券（MBS）和担保债务凭证（CDO）出售给投资者。这些复杂的金融产品被评级机构评为高等级，吸引了全球投资者的资金。</w:t>
      </w:r>
    </w:p>
    <w:p w14:paraId="56EEC6A8" w14:textId="77777777" w:rsidR="005440C8" w:rsidRPr="005440C8" w:rsidRDefault="005440C8" w:rsidP="005440C8">
      <w:pPr>
        <w:rPr>
          <w:rFonts w:hint="eastAsia"/>
        </w:rPr>
      </w:pPr>
      <w:r w:rsidRPr="005440C8">
        <w:t>然而，随着利率上升和房价下跌，次级借款人开始大规模违约，导致MBS和CDO价值暴跌，金融机构面临巨额损失。2007年，贝尔斯登旗下的两只对冲基金因持有大量</w:t>
      </w:r>
      <w:proofErr w:type="gramStart"/>
      <w:r w:rsidRPr="005440C8">
        <w:t>次贷</w:t>
      </w:r>
      <w:proofErr w:type="gramEnd"/>
      <w:r w:rsidRPr="005440C8">
        <w:t>相关资产而破产，标志着危机的开始。</w:t>
      </w:r>
    </w:p>
    <w:p w14:paraId="21480595" w14:textId="77777777" w:rsidR="005440C8" w:rsidRPr="005440C8" w:rsidRDefault="00000000" w:rsidP="005440C8">
      <w:pPr>
        <w:rPr>
          <w:rFonts w:hint="eastAsia"/>
        </w:rPr>
      </w:pPr>
      <w:r>
        <w:pict w14:anchorId="5110AEFC">
          <v:rect id="_x0000_i1026" style="width:0;height:1.5pt" o:hralign="center" o:hrstd="t" o:hr="t" fillcolor="#a0a0a0" stroked="f"/>
        </w:pict>
      </w:r>
    </w:p>
    <w:p w14:paraId="630AE3D8" w14:textId="77777777" w:rsidR="005440C8" w:rsidRPr="005440C8" w:rsidRDefault="005440C8" w:rsidP="005440C8">
      <w:pPr>
        <w:rPr>
          <w:rFonts w:hint="eastAsia"/>
          <w:b/>
          <w:bCs/>
        </w:rPr>
      </w:pPr>
      <w:r w:rsidRPr="005440C8">
        <w:rPr>
          <w:b/>
          <w:bCs/>
        </w:rPr>
        <w:t>危机的爆发与蔓延</w:t>
      </w:r>
    </w:p>
    <w:p w14:paraId="33D3B095" w14:textId="77777777" w:rsidR="005440C8" w:rsidRPr="005440C8" w:rsidRDefault="005440C8" w:rsidP="005440C8">
      <w:pPr>
        <w:rPr>
          <w:rFonts w:hint="eastAsia"/>
        </w:rPr>
      </w:pPr>
      <w:r w:rsidRPr="005440C8">
        <w:t>2008年9月，雷曼兄弟宣布破产，成为美国历史上最大的破产案，引发全球金融市场剧烈震荡。随后，美国国际集团（AIG）因信用违约掉期（CDS）敞口巨大而濒临崩溃，最终获得政府850亿美元的紧急救助。其他大型金融机构如美林证券被收购，华盛顿互惠银行倒闭，金融体系信心崩溃，全球信贷市场冻结，股市暴跌。</w:t>
      </w:r>
    </w:p>
    <w:p w14:paraId="5B2A192C" w14:textId="77777777" w:rsidR="005440C8" w:rsidRPr="005440C8" w:rsidRDefault="005440C8" w:rsidP="005440C8">
      <w:pPr>
        <w:rPr>
          <w:rFonts w:hint="eastAsia"/>
        </w:rPr>
      </w:pPr>
      <w:r w:rsidRPr="005440C8">
        <w:t>为了应对危机，美国政府推出了7000亿美元的“问题资产救助计划”（TARP），向金融机构注资以稳定市场。美联储也采取了量化宽松政策，向市场注入大量流动性。尽管如此，危机</w:t>
      </w:r>
      <w:proofErr w:type="gramStart"/>
      <w:r w:rsidRPr="005440C8">
        <w:t>仍导致</w:t>
      </w:r>
      <w:proofErr w:type="gramEnd"/>
      <w:r w:rsidRPr="005440C8">
        <w:t>全球经济陷入衰退，失业率飙升，消费者信心低迷。</w:t>
      </w:r>
    </w:p>
    <w:p w14:paraId="79148D0A" w14:textId="77777777" w:rsidR="005440C8" w:rsidRPr="005440C8" w:rsidRDefault="00000000" w:rsidP="005440C8">
      <w:pPr>
        <w:rPr>
          <w:rFonts w:hint="eastAsia"/>
        </w:rPr>
      </w:pPr>
      <w:r>
        <w:pict w14:anchorId="0815EC31">
          <v:rect id="_x0000_i1027" style="width:0;height:1.5pt" o:hralign="center" o:hrstd="t" o:hr="t" fillcolor="#a0a0a0" stroked="f"/>
        </w:pict>
      </w:r>
    </w:p>
    <w:p w14:paraId="2473B398" w14:textId="77777777" w:rsidR="005440C8" w:rsidRPr="005440C8" w:rsidRDefault="005440C8" w:rsidP="005440C8">
      <w:pPr>
        <w:rPr>
          <w:rFonts w:hint="eastAsia"/>
          <w:b/>
          <w:bCs/>
        </w:rPr>
      </w:pPr>
      <w:r w:rsidRPr="005440C8">
        <w:rPr>
          <w:b/>
          <w:bCs/>
        </w:rPr>
        <w:t>对中国的影响</w:t>
      </w:r>
    </w:p>
    <w:p w14:paraId="05BD848C" w14:textId="77777777" w:rsidR="005440C8" w:rsidRPr="005440C8" w:rsidRDefault="005440C8" w:rsidP="005440C8">
      <w:pPr>
        <w:rPr>
          <w:rFonts w:hint="eastAsia"/>
        </w:rPr>
      </w:pPr>
      <w:r w:rsidRPr="005440C8">
        <w:t>虽然中国的金融体系相对封闭，直接受到的冲击较小，但由于出口依赖度高，外需骤降对中国经济造成了显著影响。2008年，中国出口增速大幅下滑，沿海地区出口导向型企业面临订单减少、裁员甚至倒闭的困境。为应对外部冲击，中国政府迅速推出了4</w:t>
      </w:r>
      <w:proofErr w:type="gramStart"/>
      <w:r w:rsidRPr="005440C8">
        <w:t>万亿</w:t>
      </w:r>
      <w:proofErr w:type="gramEnd"/>
      <w:r w:rsidRPr="005440C8">
        <w:t>元人民币的经济刺激计划，重点投资基础设施建设，推动内需增长，成功实现了经济的快速复苏。</w:t>
      </w:r>
    </w:p>
    <w:p w14:paraId="5292966C" w14:textId="77777777" w:rsidR="005440C8" w:rsidRPr="005440C8" w:rsidRDefault="00000000" w:rsidP="005440C8">
      <w:pPr>
        <w:rPr>
          <w:rFonts w:hint="eastAsia"/>
        </w:rPr>
      </w:pPr>
      <w:r>
        <w:pict w14:anchorId="4C12C3D4">
          <v:rect id="_x0000_i1028" style="width:0;height:1.5pt" o:hralign="center" o:hrstd="t" o:hr="t" fillcolor="#a0a0a0" stroked="f"/>
        </w:pict>
      </w:r>
    </w:p>
    <w:p w14:paraId="5CA1837A" w14:textId="77777777" w:rsidR="005440C8" w:rsidRPr="005440C8" w:rsidRDefault="005440C8" w:rsidP="005440C8">
      <w:pPr>
        <w:rPr>
          <w:rFonts w:hint="eastAsia"/>
          <w:b/>
          <w:bCs/>
        </w:rPr>
      </w:pPr>
      <w:r w:rsidRPr="005440C8">
        <w:rPr>
          <w:b/>
          <w:bCs/>
        </w:rPr>
        <w:t>危机的教训与改革</w:t>
      </w:r>
    </w:p>
    <w:p w14:paraId="3B3DBBC8" w14:textId="77777777" w:rsidR="005440C8" w:rsidRPr="005440C8" w:rsidRDefault="005440C8" w:rsidP="005440C8">
      <w:pPr>
        <w:rPr>
          <w:rFonts w:hint="eastAsia"/>
        </w:rPr>
      </w:pPr>
      <w:r w:rsidRPr="005440C8">
        <w:t>此次危机暴露了金融监管的漏洞和金融创新的风险。为防范类似危机再次发生，美国</w:t>
      </w:r>
      <w:r w:rsidRPr="005440C8">
        <w:lastRenderedPageBreak/>
        <w:t>于2010年通过了《多德-弗兰克法案》，加强对金融机构的监管，限制高风险交易行为，提升金融体系的透明度和稳健性。此外，全球范围内也加强了对金融市场的监管合作，推动金融体系的改革与重建。</w:t>
      </w:r>
    </w:p>
    <w:p w14:paraId="4A59C70A" w14:textId="77777777" w:rsidR="005440C8" w:rsidRPr="005440C8" w:rsidRDefault="00000000" w:rsidP="005440C8">
      <w:pPr>
        <w:rPr>
          <w:rFonts w:hint="eastAsia"/>
        </w:rPr>
      </w:pPr>
      <w:r>
        <w:pict w14:anchorId="06EF866B">
          <v:rect id="_x0000_i1029" style="width:0;height:1.5pt" o:hralign="center" o:hrstd="t" o:hr="t" fillcolor="#a0a0a0" stroked="f"/>
        </w:pict>
      </w:r>
    </w:p>
    <w:p w14:paraId="7135AD3C" w14:textId="77777777" w:rsidR="005440C8" w:rsidRPr="005440C8" w:rsidRDefault="005440C8" w:rsidP="005440C8">
      <w:pPr>
        <w:rPr>
          <w:rFonts w:hint="eastAsia"/>
        </w:rPr>
      </w:pPr>
      <w:r w:rsidRPr="005440C8">
        <w:t>2008年金融危机提醒我们，金融市场的稳定需要有效的监管和风险控制。在全球化背景下，任何一个国家的金融问题都可能迅速波及全球，造成系统性风险。因此，建立健全的金融监管体系，提升金融机构的风险管理能力，是防范未来危机的关键。</w:t>
      </w:r>
    </w:p>
    <w:p w14:paraId="3343D880" w14:textId="77777777" w:rsidR="005440C8" w:rsidRPr="005440C8" w:rsidRDefault="00000000" w:rsidP="005440C8">
      <w:pPr>
        <w:rPr>
          <w:rFonts w:hint="eastAsia"/>
        </w:rPr>
      </w:pPr>
      <w:r>
        <w:pict w14:anchorId="2E0467A7">
          <v:rect id="_x0000_i103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940"/>
        <w:gridCol w:w="955"/>
      </w:tblGrid>
      <w:tr w:rsidR="003E33F7" w:rsidRPr="003E33F7" w14:paraId="278E6702" w14:textId="77777777" w:rsidTr="003E33F7">
        <w:trPr>
          <w:tblHeader/>
          <w:tblCellSpacing w:w="15" w:type="dxa"/>
        </w:trPr>
        <w:tc>
          <w:tcPr>
            <w:tcW w:w="0" w:type="auto"/>
            <w:vAlign w:val="center"/>
            <w:hideMark/>
          </w:tcPr>
          <w:p w14:paraId="184F2A15" w14:textId="77777777" w:rsidR="003E33F7" w:rsidRPr="003E33F7" w:rsidRDefault="003E33F7" w:rsidP="003E33F7">
            <w:pPr>
              <w:rPr>
                <w:b/>
                <w:bCs/>
              </w:rPr>
            </w:pPr>
            <w:r w:rsidRPr="003E33F7">
              <w:rPr>
                <w:b/>
                <w:bCs/>
              </w:rPr>
              <w:t>序号</w:t>
            </w:r>
          </w:p>
        </w:tc>
        <w:tc>
          <w:tcPr>
            <w:tcW w:w="0" w:type="auto"/>
            <w:vAlign w:val="center"/>
            <w:hideMark/>
          </w:tcPr>
          <w:p w14:paraId="300E139D" w14:textId="77777777" w:rsidR="003E33F7" w:rsidRPr="003E33F7" w:rsidRDefault="003E33F7" w:rsidP="003E33F7">
            <w:pPr>
              <w:rPr>
                <w:b/>
                <w:bCs/>
              </w:rPr>
            </w:pPr>
            <w:r w:rsidRPr="003E33F7">
              <w:rPr>
                <w:b/>
                <w:bCs/>
              </w:rPr>
              <w:t>基金名称</w:t>
            </w:r>
          </w:p>
        </w:tc>
        <w:tc>
          <w:tcPr>
            <w:tcW w:w="0" w:type="auto"/>
            <w:vAlign w:val="center"/>
            <w:hideMark/>
          </w:tcPr>
          <w:p w14:paraId="2713396A" w14:textId="77777777" w:rsidR="003E33F7" w:rsidRPr="003E33F7" w:rsidRDefault="003E33F7" w:rsidP="003E33F7">
            <w:pPr>
              <w:rPr>
                <w:b/>
                <w:bCs/>
              </w:rPr>
            </w:pPr>
            <w:r w:rsidRPr="003E33F7">
              <w:rPr>
                <w:b/>
                <w:bCs/>
              </w:rPr>
              <w:t>基金代码</w:t>
            </w:r>
          </w:p>
        </w:tc>
      </w:tr>
    </w:tbl>
    <w:p w14:paraId="1D1286DA"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1380"/>
        <w:gridCol w:w="771"/>
      </w:tblGrid>
      <w:tr w:rsidR="003E33F7" w:rsidRPr="003E33F7" w14:paraId="33DBEF0E" w14:textId="77777777" w:rsidTr="003E33F7">
        <w:trPr>
          <w:tblCellSpacing w:w="15" w:type="dxa"/>
        </w:trPr>
        <w:tc>
          <w:tcPr>
            <w:tcW w:w="0" w:type="auto"/>
            <w:vAlign w:val="center"/>
            <w:hideMark/>
          </w:tcPr>
          <w:p w14:paraId="6ACC2BD7" w14:textId="77777777" w:rsidR="003E33F7" w:rsidRPr="003E33F7" w:rsidRDefault="003E33F7" w:rsidP="003E33F7">
            <w:r w:rsidRPr="003E33F7">
              <w:t>1</w:t>
            </w:r>
          </w:p>
        </w:tc>
        <w:tc>
          <w:tcPr>
            <w:tcW w:w="0" w:type="auto"/>
            <w:vAlign w:val="center"/>
            <w:hideMark/>
          </w:tcPr>
          <w:p w14:paraId="35BABE5C" w14:textId="77777777" w:rsidR="003E33F7" w:rsidRPr="003E33F7" w:rsidRDefault="003E33F7" w:rsidP="003E33F7">
            <w:r w:rsidRPr="003E33F7">
              <w:t>泰达荷</w:t>
            </w:r>
            <w:proofErr w:type="gramStart"/>
            <w:r w:rsidRPr="003E33F7">
              <w:t>银成长</w:t>
            </w:r>
            <w:proofErr w:type="gramEnd"/>
          </w:p>
        </w:tc>
        <w:tc>
          <w:tcPr>
            <w:tcW w:w="0" w:type="auto"/>
            <w:vAlign w:val="center"/>
            <w:hideMark/>
          </w:tcPr>
          <w:p w14:paraId="58258E96" w14:textId="77777777" w:rsidR="003E33F7" w:rsidRPr="003E33F7" w:rsidRDefault="003E33F7" w:rsidP="003E33F7">
            <w:r w:rsidRPr="003E33F7">
              <w:t>162201</w:t>
            </w:r>
          </w:p>
        </w:tc>
      </w:tr>
    </w:tbl>
    <w:p w14:paraId="176EA868"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1380"/>
        <w:gridCol w:w="771"/>
      </w:tblGrid>
      <w:tr w:rsidR="003E33F7" w:rsidRPr="003E33F7" w14:paraId="0BFAC8CE" w14:textId="77777777" w:rsidTr="003E33F7">
        <w:trPr>
          <w:tblCellSpacing w:w="15" w:type="dxa"/>
        </w:trPr>
        <w:tc>
          <w:tcPr>
            <w:tcW w:w="0" w:type="auto"/>
            <w:vAlign w:val="center"/>
            <w:hideMark/>
          </w:tcPr>
          <w:p w14:paraId="0B3F59BA" w14:textId="77777777" w:rsidR="003E33F7" w:rsidRPr="003E33F7" w:rsidRDefault="003E33F7" w:rsidP="003E33F7">
            <w:r w:rsidRPr="003E33F7">
              <w:t>2</w:t>
            </w:r>
          </w:p>
        </w:tc>
        <w:tc>
          <w:tcPr>
            <w:tcW w:w="0" w:type="auto"/>
            <w:vAlign w:val="center"/>
            <w:hideMark/>
          </w:tcPr>
          <w:p w14:paraId="1861F40A" w14:textId="77777777" w:rsidR="003E33F7" w:rsidRPr="003E33F7" w:rsidRDefault="003E33F7" w:rsidP="003E33F7">
            <w:r w:rsidRPr="003E33F7">
              <w:t>华夏大盘精选</w:t>
            </w:r>
          </w:p>
        </w:tc>
        <w:tc>
          <w:tcPr>
            <w:tcW w:w="0" w:type="auto"/>
            <w:vAlign w:val="center"/>
            <w:hideMark/>
          </w:tcPr>
          <w:p w14:paraId="00DBD158" w14:textId="77777777" w:rsidR="003E33F7" w:rsidRPr="003E33F7" w:rsidRDefault="003E33F7" w:rsidP="003E33F7">
            <w:r w:rsidRPr="003E33F7">
              <w:t>000011</w:t>
            </w:r>
          </w:p>
        </w:tc>
      </w:tr>
    </w:tbl>
    <w:p w14:paraId="2EF64448"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1600"/>
        <w:gridCol w:w="771"/>
      </w:tblGrid>
      <w:tr w:rsidR="003E33F7" w:rsidRPr="003E33F7" w14:paraId="26A0A547" w14:textId="77777777" w:rsidTr="003E33F7">
        <w:trPr>
          <w:tblCellSpacing w:w="15" w:type="dxa"/>
        </w:trPr>
        <w:tc>
          <w:tcPr>
            <w:tcW w:w="0" w:type="auto"/>
            <w:vAlign w:val="center"/>
            <w:hideMark/>
          </w:tcPr>
          <w:p w14:paraId="38A63B09" w14:textId="77777777" w:rsidR="003E33F7" w:rsidRPr="003E33F7" w:rsidRDefault="003E33F7" w:rsidP="003E33F7">
            <w:r w:rsidRPr="003E33F7">
              <w:t>3</w:t>
            </w:r>
          </w:p>
        </w:tc>
        <w:tc>
          <w:tcPr>
            <w:tcW w:w="0" w:type="auto"/>
            <w:vAlign w:val="center"/>
            <w:hideMark/>
          </w:tcPr>
          <w:p w14:paraId="5C33A54B" w14:textId="77777777" w:rsidR="003E33F7" w:rsidRPr="003E33F7" w:rsidRDefault="003E33F7" w:rsidP="003E33F7">
            <w:r w:rsidRPr="003E33F7">
              <w:t>金鹰中小盘精选</w:t>
            </w:r>
          </w:p>
        </w:tc>
        <w:tc>
          <w:tcPr>
            <w:tcW w:w="0" w:type="auto"/>
            <w:vAlign w:val="center"/>
            <w:hideMark/>
          </w:tcPr>
          <w:p w14:paraId="4459084F" w14:textId="77777777" w:rsidR="003E33F7" w:rsidRPr="003E33F7" w:rsidRDefault="003E33F7" w:rsidP="003E33F7">
            <w:r w:rsidRPr="003E33F7">
              <w:t>162102</w:t>
            </w:r>
          </w:p>
        </w:tc>
      </w:tr>
    </w:tbl>
    <w:p w14:paraId="7BF161D1"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2040"/>
        <w:gridCol w:w="771"/>
      </w:tblGrid>
      <w:tr w:rsidR="003E33F7" w:rsidRPr="003E33F7" w14:paraId="4A0C3CB1" w14:textId="77777777" w:rsidTr="003E33F7">
        <w:trPr>
          <w:tblCellSpacing w:w="15" w:type="dxa"/>
        </w:trPr>
        <w:tc>
          <w:tcPr>
            <w:tcW w:w="0" w:type="auto"/>
            <w:vAlign w:val="center"/>
            <w:hideMark/>
          </w:tcPr>
          <w:p w14:paraId="764284A3" w14:textId="77777777" w:rsidR="003E33F7" w:rsidRPr="003E33F7" w:rsidRDefault="003E33F7" w:rsidP="003E33F7">
            <w:r w:rsidRPr="003E33F7">
              <w:t>4</w:t>
            </w:r>
          </w:p>
        </w:tc>
        <w:tc>
          <w:tcPr>
            <w:tcW w:w="0" w:type="auto"/>
            <w:vAlign w:val="center"/>
            <w:hideMark/>
          </w:tcPr>
          <w:p w14:paraId="70E748D7" w14:textId="77777777" w:rsidR="003E33F7" w:rsidRPr="003E33F7" w:rsidRDefault="003E33F7" w:rsidP="003E33F7">
            <w:r w:rsidRPr="003E33F7">
              <w:t>华宝兴业多策略增长</w:t>
            </w:r>
          </w:p>
        </w:tc>
        <w:tc>
          <w:tcPr>
            <w:tcW w:w="0" w:type="auto"/>
            <w:vAlign w:val="center"/>
            <w:hideMark/>
          </w:tcPr>
          <w:p w14:paraId="73E24209" w14:textId="77777777" w:rsidR="003E33F7" w:rsidRPr="003E33F7" w:rsidRDefault="003E33F7" w:rsidP="003E33F7">
            <w:r w:rsidRPr="003E33F7">
              <w:t>240005</w:t>
            </w:r>
          </w:p>
        </w:tc>
      </w:tr>
    </w:tbl>
    <w:p w14:paraId="52814205"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940"/>
        <w:gridCol w:w="771"/>
      </w:tblGrid>
      <w:tr w:rsidR="003E33F7" w:rsidRPr="003E33F7" w14:paraId="7A817BD5" w14:textId="77777777" w:rsidTr="003E33F7">
        <w:trPr>
          <w:tblCellSpacing w:w="15" w:type="dxa"/>
        </w:trPr>
        <w:tc>
          <w:tcPr>
            <w:tcW w:w="0" w:type="auto"/>
            <w:vAlign w:val="center"/>
            <w:hideMark/>
          </w:tcPr>
          <w:p w14:paraId="43CE8CFD" w14:textId="77777777" w:rsidR="003E33F7" w:rsidRPr="003E33F7" w:rsidRDefault="003E33F7" w:rsidP="003E33F7">
            <w:r w:rsidRPr="003E33F7">
              <w:t>5</w:t>
            </w:r>
          </w:p>
        </w:tc>
        <w:tc>
          <w:tcPr>
            <w:tcW w:w="0" w:type="auto"/>
            <w:vAlign w:val="center"/>
            <w:hideMark/>
          </w:tcPr>
          <w:p w14:paraId="66039136" w14:textId="77777777" w:rsidR="003E33F7" w:rsidRPr="003E33F7" w:rsidRDefault="003E33F7" w:rsidP="003E33F7">
            <w:r w:rsidRPr="003E33F7">
              <w:t>华夏复兴</w:t>
            </w:r>
          </w:p>
        </w:tc>
        <w:tc>
          <w:tcPr>
            <w:tcW w:w="0" w:type="auto"/>
            <w:vAlign w:val="center"/>
            <w:hideMark/>
          </w:tcPr>
          <w:p w14:paraId="31E6B383" w14:textId="77777777" w:rsidR="003E33F7" w:rsidRPr="003E33F7" w:rsidRDefault="003E33F7" w:rsidP="003E33F7">
            <w:r w:rsidRPr="003E33F7">
              <w:t>000031</w:t>
            </w:r>
          </w:p>
        </w:tc>
      </w:tr>
    </w:tbl>
    <w:p w14:paraId="54789303"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940"/>
        <w:gridCol w:w="771"/>
      </w:tblGrid>
      <w:tr w:rsidR="003E33F7" w:rsidRPr="003E33F7" w14:paraId="1B401D8F" w14:textId="77777777" w:rsidTr="003E33F7">
        <w:trPr>
          <w:tblCellSpacing w:w="15" w:type="dxa"/>
        </w:trPr>
        <w:tc>
          <w:tcPr>
            <w:tcW w:w="0" w:type="auto"/>
            <w:vAlign w:val="center"/>
            <w:hideMark/>
          </w:tcPr>
          <w:p w14:paraId="30ACC504" w14:textId="77777777" w:rsidR="003E33F7" w:rsidRPr="003E33F7" w:rsidRDefault="003E33F7" w:rsidP="003E33F7">
            <w:r w:rsidRPr="003E33F7">
              <w:t>6</w:t>
            </w:r>
          </w:p>
        </w:tc>
        <w:tc>
          <w:tcPr>
            <w:tcW w:w="0" w:type="auto"/>
            <w:vAlign w:val="center"/>
            <w:hideMark/>
          </w:tcPr>
          <w:p w14:paraId="6F0EE5A5" w14:textId="77777777" w:rsidR="003E33F7" w:rsidRPr="003E33F7" w:rsidRDefault="003E33F7" w:rsidP="003E33F7">
            <w:proofErr w:type="gramStart"/>
            <w:r w:rsidRPr="003E33F7">
              <w:t>长城久恒</w:t>
            </w:r>
            <w:proofErr w:type="gramEnd"/>
          </w:p>
        </w:tc>
        <w:tc>
          <w:tcPr>
            <w:tcW w:w="0" w:type="auto"/>
            <w:vAlign w:val="center"/>
            <w:hideMark/>
          </w:tcPr>
          <w:p w14:paraId="298CD7D0" w14:textId="77777777" w:rsidR="003E33F7" w:rsidRPr="003E33F7" w:rsidRDefault="003E33F7" w:rsidP="003E33F7">
            <w:r w:rsidRPr="003E33F7">
              <w:t>200007</w:t>
            </w:r>
          </w:p>
        </w:tc>
      </w:tr>
    </w:tbl>
    <w:p w14:paraId="05BAA602"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940"/>
        <w:gridCol w:w="771"/>
      </w:tblGrid>
      <w:tr w:rsidR="003E33F7" w:rsidRPr="003E33F7" w14:paraId="1D59A9EC" w14:textId="77777777" w:rsidTr="003E33F7">
        <w:trPr>
          <w:tblCellSpacing w:w="15" w:type="dxa"/>
        </w:trPr>
        <w:tc>
          <w:tcPr>
            <w:tcW w:w="0" w:type="auto"/>
            <w:vAlign w:val="center"/>
            <w:hideMark/>
          </w:tcPr>
          <w:p w14:paraId="647F50E6" w14:textId="77777777" w:rsidR="003E33F7" w:rsidRPr="003E33F7" w:rsidRDefault="003E33F7" w:rsidP="003E33F7">
            <w:r w:rsidRPr="003E33F7">
              <w:t>7</w:t>
            </w:r>
          </w:p>
        </w:tc>
        <w:tc>
          <w:tcPr>
            <w:tcW w:w="0" w:type="auto"/>
            <w:vAlign w:val="center"/>
            <w:hideMark/>
          </w:tcPr>
          <w:p w14:paraId="034F6DE9" w14:textId="77777777" w:rsidR="003E33F7" w:rsidRPr="003E33F7" w:rsidRDefault="003E33F7" w:rsidP="003E33F7">
            <w:r w:rsidRPr="003E33F7">
              <w:t>华夏红利</w:t>
            </w:r>
          </w:p>
        </w:tc>
        <w:tc>
          <w:tcPr>
            <w:tcW w:w="0" w:type="auto"/>
            <w:vAlign w:val="center"/>
            <w:hideMark/>
          </w:tcPr>
          <w:p w14:paraId="19383BC5" w14:textId="77777777" w:rsidR="003E33F7" w:rsidRPr="003E33F7" w:rsidRDefault="003E33F7" w:rsidP="003E33F7">
            <w:r w:rsidRPr="003E33F7">
              <w:t>002001</w:t>
            </w:r>
          </w:p>
        </w:tc>
      </w:tr>
    </w:tbl>
    <w:p w14:paraId="13D87371"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1820"/>
        <w:gridCol w:w="771"/>
      </w:tblGrid>
      <w:tr w:rsidR="003E33F7" w:rsidRPr="003E33F7" w14:paraId="681D6A21" w14:textId="77777777" w:rsidTr="003E33F7">
        <w:trPr>
          <w:tblCellSpacing w:w="15" w:type="dxa"/>
        </w:trPr>
        <w:tc>
          <w:tcPr>
            <w:tcW w:w="0" w:type="auto"/>
            <w:vAlign w:val="center"/>
            <w:hideMark/>
          </w:tcPr>
          <w:p w14:paraId="71D16C12" w14:textId="77777777" w:rsidR="003E33F7" w:rsidRPr="003E33F7" w:rsidRDefault="003E33F7" w:rsidP="003E33F7">
            <w:r w:rsidRPr="003E33F7">
              <w:t>8</w:t>
            </w:r>
          </w:p>
        </w:tc>
        <w:tc>
          <w:tcPr>
            <w:tcW w:w="0" w:type="auto"/>
            <w:vAlign w:val="center"/>
            <w:hideMark/>
          </w:tcPr>
          <w:p w14:paraId="0A2BED52" w14:textId="77777777" w:rsidR="003E33F7" w:rsidRPr="003E33F7" w:rsidRDefault="003E33F7" w:rsidP="003E33F7">
            <w:r w:rsidRPr="003E33F7">
              <w:t>中</w:t>
            </w:r>
            <w:proofErr w:type="gramStart"/>
            <w:r w:rsidRPr="003E33F7">
              <w:t>信稳定双</w:t>
            </w:r>
            <w:proofErr w:type="gramEnd"/>
            <w:r w:rsidRPr="003E33F7">
              <w:t>利债券</w:t>
            </w:r>
          </w:p>
        </w:tc>
        <w:tc>
          <w:tcPr>
            <w:tcW w:w="0" w:type="auto"/>
            <w:vAlign w:val="center"/>
            <w:hideMark/>
          </w:tcPr>
          <w:p w14:paraId="523C2327" w14:textId="77777777" w:rsidR="003E33F7" w:rsidRPr="003E33F7" w:rsidRDefault="003E33F7" w:rsidP="003E33F7">
            <w:r w:rsidRPr="003E33F7">
              <w:t>288102</w:t>
            </w:r>
          </w:p>
        </w:tc>
      </w:tr>
    </w:tbl>
    <w:p w14:paraId="4B7D6175"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1380"/>
        <w:gridCol w:w="771"/>
      </w:tblGrid>
      <w:tr w:rsidR="003E33F7" w:rsidRPr="003E33F7" w14:paraId="790D8F73" w14:textId="77777777" w:rsidTr="003E33F7">
        <w:trPr>
          <w:tblCellSpacing w:w="15" w:type="dxa"/>
        </w:trPr>
        <w:tc>
          <w:tcPr>
            <w:tcW w:w="0" w:type="auto"/>
            <w:vAlign w:val="center"/>
            <w:hideMark/>
          </w:tcPr>
          <w:p w14:paraId="2410ADCE" w14:textId="77777777" w:rsidR="003E33F7" w:rsidRPr="003E33F7" w:rsidRDefault="003E33F7" w:rsidP="003E33F7">
            <w:r w:rsidRPr="003E33F7">
              <w:t>9</w:t>
            </w:r>
          </w:p>
        </w:tc>
        <w:tc>
          <w:tcPr>
            <w:tcW w:w="0" w:type="auto"/>
            <w:vAlign w:val="center"/>
            <w:hideMark/>
          </w:tcPr>
          <w:p w14:paraId="2EE88BAF" w14:textId="77777777" w:rsidR="003E33F7" w:rsidRPr="003E33F7" w:rsidRDefault="003E33F7" w:rsidP="003E33F7">
            <w:r w:rsidRPr="003E33F7">
              <w:t>国泰金龙债券</w:t>
            </w:r>
          </w:p>
        </w:tc>
        <w:tc>
          <w:tcPr>
            <w:tcW w:w="0" w:type="auto"/>
            <w:vAlign w:val="center"/>
            <w:hideMark/>
          </w:tcPr>
          <w:p w14:paraId="2A4375DE" w14:textId="77777777" w:rsidR="003E33F7" w:rsidRPr="003E33F7" w:rsidRDefault="003E33F7" w:rsidP="003E33F7">
            <w:r w:rsidRPr="003E33F7">
              <w:t>020002</w:t>
            </w:r>
          </w:p>
        </w:tc>
      </w:tr>
    </w:tbl>
    <w:p w14:paraId="18452BC3" w14:textId="77777777" w:rsidR="003E33F7" w:rsidRPr="003E33F7" w:rsidRDefault="003E33F7" w:rsidP="003E33F7">
      <w:pPr>
        <w:rPr>
          <w:rFonts w:hint="eastAsi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
        <w:gridCol w:w="940"/>
        <w:gridCol w:w="771"/>
      </w:tblGrid>
      <w:tr w:rsidR="003E33F7" w:rsidRPr="003E33F7" w14:paraId="0E9279C1" w14:textId="77777777" w:rsidTr="003E33F7">
        <w:trPr>
          <w:tblCellSpacing w:w="15" w:type="dxa"/>
        </w:trPr>
        <w:tc>
          <w:tcPr>
            <w:tcW w:w="0" w:type="auto"/>
            <w:vAlign w:val="center"/>
            <w:hideMark/>
          </w:tcPr>
          <w:p w14:paraId="30AC8A6B" w14:textId="77777777" w:rsidR="003E33F7" w:rsidRPr="003E33F7" w:rsidRDefault="003E33F7" w:rsidP="003E33F7">
            <w:r w:rsidRPr="003E33F7">
              <w:t>10</w:t>
            </w:r>
          </w:p>
        </w:tc>
        <w:tc>
          <w:tcPr>
            <w:tcW w:w="0" w:type="auto"/>
            <w:vAlign w:val="center"/>
            <w:hideMark/>
          </w:tcPr>
          <w:p w14:paraId="6646F5A6" w14:textId="77777777" w:rsidR="003E33F7" w:rsidRPr="003E33F7" w:rsidRDefault="003E33F7" w:rsidP="003E33F7">
            <w:r w:rsidRPr="003E33F7">
              <w:t>华夏债券</w:t>
            </w:r>
          </w:p>
        </w:tc>
        <w:tc>
          <w:tcPr>
            <w:tcW w:w="0" w:type="auto"/>
            <w:vAlign w:val="center"/>
            <w:hideMark/>
          </w:tcPr>
          <w:p w14:paraId="4B4AC5C8" w14:textId="77777777" w:rsidR="003E33F7" w:rsidRPr="003E33F7" w:rsidRDefault="003E33F7" w:rsidP="003E33F7">
            <w:r w:rsidRPr="003E33F7">
              <w:t>001001</w:t>
            </w:r>
          </w:p>
        </w:tc>
      </w:tr>
    </w:tbl>
    <w:p w14:paraId="768E0B4D" w14:textId="77777777" w:rsidR="00493C74" w:rsidRDefault="00493C74">
      <w:pPr>
        <w:rPr>
          <w:rFonts w:hint="eastAsia"/>
        </w:rPr>
      </w:pPr>
    </w:p>
    <w:sectPr w:rsidR="00493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29A24" w14:textId="77777777" w:rsidR="00BC03BC" w:rsidRDefault="00BC03BC" w:rsidP="005440C8">
      <w:pPr>
        <w:spacing w:after="0" w:line="240" w:lineRule="auto"/>
        <w:rPr>
          <w:rFonts w:hint="eastAsia"/>
        </w:rPr>
      </w:pPr>
      <w:r>
        <w:separator/>
      </w:r>
    </w:p>
  </w:endnote>
  <w:endnote w:type="continuationSeparator" w:id="0">
    <w:p w14:paraId="365E571C" w14:textId="77777777" w:rsidR="00BC03BC" w:rsidRDefault="00BC03BC" w:rsidP="005440C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4C310" w14:textId="77777777" w:rsidR="00BC03BC" w:rsidRDefault="00BC03BC" w:rsidP="005440C8">
      <w:pPr>
        <w:spacing w:after="0" w:line="240" w:lineRule="auto"/>
        <w:rPr>
          <w:rFonts w:hint="eastAsia"/>
        </w:rPr>
      </w:pPr>
      <w:r>
        <w:separator/>
      </w:r>
    </w:p>
  </w:footnote>
  <w:footnote w:type="continuationSeparator" w:id="0">
    <w:p w14:paraId="6CC4FABD" w14:textId="77777777" w:rsidR="00BC03BC" w:rsidRDefault="00BC03BC" w:rsidP="005440C8">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74"/>
    <w:rsid w:val="002A7C96"/>
    <w:rsid w:val="003E33F7"/>
    <w:rsid w:val="00403720"/>
    <w:rsid w:val="00455625"/>
    <w:rsid w:val="00493C74"/>
    <w:rsid w:val="005440C8"/>
    <w:rsid w:val="00BC0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AEE2C5"/>
  <w15:chartTrackingRefBased/>
  <w15:docId w15:val="{BEFDD0D4-A9A5-4DD0-9328-58996E2C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93C7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93C7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93C7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93C7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93C74"/>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93C74"/>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93C7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3C7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93C7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3C7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93C7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93C7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93C74"/>
    <w:rPr>
      <w:rFonts w:cstheme="majorBidi"/>
      <w:color w:val="2F5496" w:themeColor="accent1" w:themeShade="BF"/>
      <w:sz w:val="28"/>
      <w:szCs w:val="28"/>
    </w:rPr>
  </w:style>
  <w:style w:type="character" w:customStyle="1" w:styleId="50">
    <w:name w:val="标题 5 字符"/>
    <w:basedOn w:val="a0"/>
    <w:link w:val="5"/>
    <w:uiPriority w:val="9"/>
    <w:semiHidden/>
    <w:rsid w:val="00493C74"/>
    <w:rPr>
      <w:rFonts w:cstheme="majorBidi"/>
      <w:color w:val="2F5496" w:themeColor="accent1" w:themeShade="BF"/>
      <w:sz w:val="24"/>
    </w:rPr>
  </w:style>
  <w:style w:type="character" w:customStyle="1" w:styleId="60">
    <w:name w:val="标题 6 字符"/>
    <w:basedOn w:val="a0"/>
    <w:link w:val="6"/>
    <w:uiPriority w:val="9"/>
    <w:semiHidden/>
    <w:rsid w:val="00493C74"/>
    <w:rPr>
      <w:rFonts w:cstheme="majorBidi"/>
      <w:b/>
      <w:bCs/>
      <w:color w:val="2F5496" w:themeColor="accent1" w:themeShade="BF"/>
    </w:rPr>
  </w:style>
  <w:style w:type="character" w:customStyle="1" w:styleId="70">
    <w:name w:val="标题 7 字符"/>
    <w:basedOn w:val="a0"/>
    <w:link w:val="7"/>
    <w:uiPriority w:val="9"/>
    <w:semiHidden/>
    <w:rsid w:val="00493C74"/>
    <w:rPr>
      <w:rFonts w:cstheme="majorBidi"/>
      <w:b/>
      <w:bCs/>
      <w:color w:val="595959" w:themeColor="text1" w:themeTint="A6"/>
    </w:rPr>
  </w:style>
  <w:style w:type="character" w:customStyle="1" w:styleId="80">
    <w:name w:val="标题 8 字符"/>
    <w:basedOn w:val="a0"/>
    <w:link w:val="8"/>
    <w:uiPriority w:val="9"/>
    <w:semiHidden/>
    <w:rsid w:val="00493C74"/>
    <w:rPr>
      <w:rFonts w:cstheme="majorBidi"/>
      <w:color w:val="595959" w:themeColor="text1" w:themeTint="A6"/>
    </w:rPr>
  </w:style>
  <w:style w:type="character" w:customStyle="1" w:styleId="90">
    <w:name w:val="标题 9 字符"/>
    <w:basedOn w:val="a0"/>
    <w:link w:val="9"/>
    <w:uiPriority w:val="9"/>
    <w:semiHidden/>
    <w:rsid w:val="00493C74"/>
    <w:rPr>
      <w:rFonts w:eastAsiaTheme="majorEastAsia" w:cstheme="majorBidi"/>
      <w:color w:val="595959" w:themeColor="text1" w:themeTint="A6"/>
    </w:rPr>
  </w:style>
  <w:style w:type="paragraph" w:styleId="a3">
    <w:name w:val="Title"/>
    <w:basedOn w:val="a"/>
    <w:next w:val="a"/>
    <w:link w:val="a4"/>
    <w:uiPriority w:val="10"/>
    <w:qFormat/>
    <w:rsid w:val="00493C7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3C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C7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3C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C74"/>
    <w:pPr>
      <w:spacing w:before="160"/>
      <w:jc w:val="center"/>
    </w:pPr>
    <w:rPr>
      <w:i/>
      <w:iCs/>
      <w:color w:val="404040" w:themeColor="text1" w:themeTint="BF"/>
    </w:rPr>
  </w:style>
  <w:style w:type="character" w:customStyle="1" w:styleId="a8">
    <w:name w:val="引用 字符"/>
    <w:basedOn w:val="a0"/>
    <w:link w:val="a7"/>
    <w:uiPriority w:val="29"/>
    <w:rsid w:val="00493C74"/>
    <w:rPr>
      <w:i/>
      <w:iCs/>
      <w:color w:val="404040" w:themeColor="text1" w:themeTint="BF"/>
    </w:rPr>
  </w:style>
  <w:style w:type="paragraph" w:styleId="a9">
    <w:name w:val="List Paragraph"/>
    <w:basedOn w:val="a"/>
    <w:uiPriority w:val="34"/>
    <w:qFormat/>
    <w:rsid w:val="00493C74"/>
    <w:pPr>
      <w:ind w:left="720"/>
      <w:contextualSpacing/>
    </w:pPr>
  </w:style>
  <w:style w:type="character" w:styleId="aa">
    <w:name w:val="Intense Emphasis"/>
    <w:basedOn w:val="a0"/>
    <w:uiPriority w:val="21"/>
    <w:qFormat/>
    <w:rsid w:val="00493C74"/>
    <w:rPr>
      <w:i/>
      <w:iCs/>
      <w:color w:val="2F5496" w:themeColor="accent1" w:themeShade="BF"/>
    </w:rPr>
  </w:style>
  <w:style w:type="paragraph" w:styleId="ab">
    <w:name w:val="Intense Quote"/>
    <w:basedOn w:val="a"/>
    <w:next w:val="a"/>
    <w:link w:val="ac"/>
    <w:uiPriority w:val="30"/>
    <w:qFormat/>
    <w:rsid w:val="00493C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93C74"/>
    <w:rPr>
      <w:i/>
      <w:iCs/>
      <w:color w:val="2F5496" w:themeColor="accent1" w:themeShade="BF"/>
    </w:rPr>
  </w:style>
  <w:style w:type="character" w:styleId="ad">
    <w:name w:val="Intense Reference"/>
    <w:basedOn w:val="a0"/>
    <w:uiPriority w:val="32"/>
    <w:qFormat/>
    <w:rsid w:val="00493C74"/>
    <w:rPr>
      <w:b/>
      <w:bCs/>
      <w:smallCaps/>
      <w:color w:val="2F5496" w:themeColor="accent1" w:themeShade="BF"/>
      <w:spacing w:val="5"/>
    </w:rPr>
  </w:style>
  <w:style w:type="paragraph" w:styleId="ae">
    <w:name w:val="header"/>
    <w:basedOn w:val="a"/>
    <w:link w:val="af"/>
    <w:uiPriority w:val="99"/>
    <w:unhideWhenUsed/>
    <w:rsid w:val="005440C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440C8"/>
    <w:rPr>
      <w:sz w:val="18"/>
      <w:szCs w:val="18"/>
    </w:rPr>
  </w:style>
  <w:style w:type="paragraph" w:styleId="af0">
    <w:name w:val="footer"/>
    <w:basedOn w:val="a"/>
    <w:link w:val="af1"/>
    <w:uiPriority w:val="99"/>
    <w:unhideWhenUsed/>
    <w:rsid w:val="005440C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440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9954">
      <w:bodyDiv w:val="1"/>
      <w:marLeft w:val="0"/>
      <w:marRight w:val="0"/>
      <w:marTop w:val="0"/>
      <w:marBottom w:val="0"/>
      <w:divBdr>
        <w:top w:val="none" w:sz="0" w:space="0" w:color="auto"/>
        <w:left w:val="none" w:sz="0" w:space="0" w:color="auto"/>
        <w:bottom w:val="none" w:sz="0" w:space="0" w:color="auto"/>
        <w:right w:val="none" w:sz="0" w:space="0" w:color="auto"/>
      </w:divBdr>
    </w:div>
    <w:div w:id="637616359">
      <w:bodyDiv w:val="1"/>
      <w:marLeft w:val="0"/>
      <w:marRight w:val="0"/>
      <w:marTop w:val="0"/>
      <w:marBottom w:val="0"/>
      <w:divBdr>
        <w:top w:val="none" w:sz="0" w:space="0" w:color="auto"/>
        <w:left w:val="none" w:sz="0" w:space="0" w:color="auto"/>
        <w:bottom w:val="none" w:sz="0" w:space="0" w:color="auto"/>
        <w:right w:val="none" w:sz="0" w:space="0" w:color="auto"/>
      </w:divBdr>
    </w:div>
    <w:div w:id="752973184">
      <w:bodyDiv w:val="1"/>
      <w:marLeft w:val="0"/>
      <w:marRight w:val="0"/>
      <w:marTop w:val="0"/>
      <w:marBottom w:val="0"/>
      <w:divBdr>
        <w:top w:val="none" w:sz="0" w:space="0" w:color="auto"/>
        <w:left w:val="none" w:sz="0" w:space="0" w:color="auto"/>
        <w:bottom w:val="none" w:sz="0" w:space="0" w:color="auto"/>
        <w:right w:val="none" w:sz="0" w:space="0" w:color="auto"/>
      </w:divBdr>
    </w:div>
    <w:div w:id="134389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619</Words>
  <Characters>645</Characters>
  <Application>Microsoft Office Word</Application>
  <DocSecurity>0</DocSecurity>
  <Lines>24</Lines>
  <Paragraphs>14</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奕涵 邵</dc:creator>
  <cp:keywords/>
  <dc:description/>
  <cp:lastModifiedBy>奕涵 邵</cp:lastModifiedBy>
  <cp:revision>3</cp:revision>
  <dcterms:created xsi:type="dcterms:W3CDTF">2025-05-01T14:30:00Z</dcterms:created>
  <dcterms:modified xsi:type="dcterms:W3CDTF">2025-05-02T02:56:00Z</dcterms:modified>
</cp:coreProperties>
</file>